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true"/>
        <w:pBdr/>
        <w:spacing w:line="17" w:lineRule="atLeast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line="17" w:lineRule="atLeast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Отчет</w:t>
      </w:r>
      <w:r>
        <w:rPr>
          <w:rFonts w:ascii="Times New Roman" w:hAnsi="Times New Roman" w:cs="Times New Roman"/>
          <w:sz w:val="28"/>
          <w:szCs w:val="28"/>
          <w:lang w:eastAsia="ar-SA"/>
        </w:rPr>
      </w:r>
      <w:r>
        <w:rPr>
          <w:rFonts w:ascii="Times New Roman" w:hAnsi="Times New Roman" w:cs="Times New Roman"/>
          <w:sz w:val="28"/>
          <w:szCs w:val="28"/>
          <w:lang w:eastAsia="ar-SA"/>
        </w:rPr>
      </w:r>
    </w:p>
    <w:p>
      <w:pPr>
        <w:pBdr/>
        <w:spacing w:line="17" w:lineRule="atLeast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 реализации прогноза социально-экономического развития </w:t>
      </w:r>
      <w:r>
        <w:rPr>
          <w:rFonts w:ascii="Times New Roman" w:hAnsi="Times New Roman" w:cs="Times New Roman"/>
          <w:sz w:val="28"/>
          <w:szCs w:val="28"/>
          <w:lang w:eastAsia="ar-SA"/>
        </w:rPr>
      </w:r>
      <w:r>
        <w:rPr>
          <w:rFonts w:ascii="Times New Roman" w:hAnsi="Times New Roman" w:cs="Times New Roman"/>
          <w:sz w:val="28"/>
          <w:szCs w:val="28"/>
          <w:lang w:eastAsia="ar-SA"/>
        </w:rPr>
      </w:r>
    </w:p>
    <w:p>
      <w:pPr>
        <w:pBdr/>
        <w:spacing w:line="17" w:lineRule="atLeast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Аксайского городского поселения з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 2025 год</w:t>
      </w:r>
      <w:r>
        <w:rPr>
          <w:rFonts w:ascii="Times New Roman" w:hAnsi="Times New Roman" w:cs="Times New Roman"/>
          <w:sz w:val="28"/>
          <w:szCs w:val="28"/>
          <w:lang w:eastAsia="ar-SA"/>
        </w:rPr>
      </w:r>
      <w:r>
        <w:rPr>
          <w:rFonts w:ascii="Times New Roman" w:hAnsi="Times New Roman" w:cs="Times New Roman"/>
          <w:sz w:val="28"/>
          <w:szCs w:val="28"/>
          <w:lang w:eastAsia="ar-SA"/>
        </w:rPr>
      </w:r>
    </w:p>
    <w:p>
      <w:pPr>
        <w:pBdr/>
        <w:spacing w:line="17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17" w:lineRule="atLeast"/>
        <w:ind w:firstLine="709"/>
        <w:rPr>
          <w:rFonts w:ascii="Times New Roman" w:hAnsi="Times New Roman" w:cs="Times New Roman"/>
          <w:strike w:val="0"/>
          <w:sz w:val="28"/>
          <w:szCs w:val="28"/>
        </w:rPr>
      </w:pPr>
      <w:r>
        <w:rPr>
          <w:rFonts w:ascii="Times New Roman" w:hAnsi="Times New Roman" w:cs="Times New Roman"/>
          <w:strike w:val="0"/>
          <w:sz w:val="28"/>
          <w:szCs w:val="28"/>
        </w:rPr>
        <w:t xml:space="preserve">Основной целью социально-экономического развития Аксайского городского поселения определено – создание условий для увеличения продолжительности жизни и прироста населения, увеличение денежных доходов жителей поселения. </w:t>
      </w:r>
      <w:r>
        <w:rPr>
          <w:rFonts w:ascii="Times New Roman" w:hAnsi="Times New Roman" w:cs="Times New Roman"/>
          <w:strike w:val="0"/>
          <w:sz w:val="28"/>
          <w:szCs w:val="28"/>
        </w:rPr>
        <w:tab/>
        <w:t xml:space="preserve">Важнейшими 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задачами определены: обеспечение экономического роста – увеличение производства продукции (услуг), создание новых рабочих мест за счет внедрения новых технологий, рост производительности труда, повышение эффективности производства. Кроме того, предусмотрен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о развитие потребительского рынка, сферы услуг, улучшение экологической обстановки, проведение активной социальной и жилищной политики.</w:t>
      </w:r>
      <w:r>
        <w:rPr>
          <w:rFonts w:ascii="Times New Roman" w:hAnsi="Times New Roman" w:cs="Times New Roman"/>
          <w:strike w:val="0"/>
          <w:sz w:val="28"/>
          <w:szCs w:val="28"/>
        </w:rPr>
      </w:r>
      <w:r>
        <w:rPr>
          <w:rFonts w:ascii="Times New Roman" w:hAnsi="Times New Roman" w:cs="Times New Roman"/>
          <w:strike w:val="0"/>
          <w:sz w:val="28"/>
          <w:szCs w:val="28"/>
        </w:rPr>
      </w:r>
    </w:p>
    <w:p>
      <w:pPr>
        <w:pBdr/>
        <w:spacing w:line="17" w:lineRule="atLeast"/>
        <w:ind w:firstLine="709"/>
        <w:rPr>
          <w:rFonts w:ascii="Times New Roman" w:hAnsi="Times New Roman" w:cs="Times New Roman"/>
          <w:strike w:val="0"/>
          <w:sz w:val="28"/>
          <w:szCs w:val="28"/>
        </w:rPr>
      </w:pP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Прогноз 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социально-экономического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 развития Аксайского городского поселения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2025 год и плановый период 2026 и 2027 год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 утвержденный постановлением от 15.10.2024 г. № 730, разработан в соответствии с Порядком разработки и корректировки прогноза социально-экономического развития Аксайского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среднесрочный и долгосрочный периоды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, утвержденн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ым постановлением администрации Аксайского городского поселения от 14.09.2018 № 810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 и является документом стратегического планирования Аксайского городского поселения, содержащим систему обоснованных представлений о направлениях и об ожидаемых результатах социально-экономического развития Аксайс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кого городского поселения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среднесрочный 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период.</w:t>
      </w:r>
      <w:r>
        <w:rPr>
          <w:rFonts w:ascii="Times New Roman" w:hAnsi="Times New Roman" w:cs="Times New Roman"/>
          <w:strike w:val="0"/>
          <w:sz w:val="28"/>
          <w:szCs w:val="28"/>
        </w:rPr>
      </w:r>
      <w:r>
        <w:rPr>
          <w:rFonts w:ascii="Times New Roman" w:hAnsi="Times New Roman" w:cs="Times New Roman"/>
          <w:strike w:val="0"/>
          <w:sz w:val="28"/>
          <w:szCs w:val="28"/>
        </w:rPr>
      </w:r>
    </w:p>
    <w:p>
      <w:pPr>
        <w:pBdr/>
        <w:spacing w:line="17" w:lineRule="atLeast"/>
        <w:ind w:firstLine="709"/>
        <w:rPr>
          <w:rFonts w:ascii="Times New Roman" w:hAnsi="Times New Roman" w:cs="Times New Roman"/>
          <w:strike w:val="0"/>
          <w:sz w:val="28"/>
          <w:szCs w:val="28"/>
        </w:rPr>
      </w:pPr>
      <w:r>
        <w:rPr>
          <w:rFonts w:ascii="Times New Roman" w:hAnsi="Times New Roman" w:cs="Times New Roman"/>
          <w:strike w:val="0"/>
          <w:sz w:val="28"/>
          <w:szCs w:val="28"/>
        </w:rPr>
        <w:t xml:space="preserve">Одной из основных задач социально-экономического развития является увеличение численности населения. Увеличение численности планируется за счет индивидуального жилищного строительства, а та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к же строительства торгово-промышленных  предприятий, что способствует увеличения рабочих мест, благоприятному проживанию  и увеличения рождаемости.</w:t>
      </w:r>
      <w:r>
        <w:rPr>
          <w:rFonts w:ascii="Times New Roman" w:hAnsi="Times New Roman" w:cs="Times New Roman"/>
          <w:strike w:val="0"/>
          <w:sz w:val="28"/>
          <w:szCs w:val="28"/>
        </w:rPr>
      </w:r>
      <w:r>
        <w:rPr>
          <w:rFonts w:ascii="Times New Roman" w:hAnsi="Times New Roman" w:cs="Times New Roman"/>
          <w:strike w:val="0"/>
          <w:sz w:val="28"/>
          <w:szCs w:val="28"/>
        </w:rPr>
      </w:r>
    </w:p>
    <w:p>
      <w:pPr>
        <w:pBdr/>
        <w:spacing w:line="17" w:lineRule="atLeast"/>
        <w:ind w:firstLine="709"/>
        <w:rPr>
          <w:rFonts w:ascii="Times New Roman" w:hAnsi="Times New Roman" w:cs="Times New Roman"/>
          <w:strike w:val="0"/>
          <w:sz w:val="28"/>
          <w:szCs w:val="28"/>
        </w:rPr>
      </w:pPr>
      <w:r>
        <w:rPr>
          <w:rFonts w:ascii="Times New Roman" w:hAnsi="Times New Roman" w:cs="Times New Roman"/>
          <w:strike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Совокупный объем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 отгруженных товаров собственного производства, выполнено работ и услуг собственными силами, по полному кругу предприятий Аксайского городского поселения составил 56,2 млрд. рублей, чт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о на 39,7 % больше уровня 2024 года. Прогнозные показатели выполнены на 109,9 %.</w:t>
      </w:r>
      <w:r>
        <w:rPr>
          <w:rFonts w:ascii="Times New Roman" w:hAnsi="Times New Roman" w:cs="Times New Roman"/>
          <w:strike w:val="0"/>
          <w:sz w:val="28"/>
          <w:szCs w:val="28"/>
        </w:rPr>
      </w:r>
      <w:r>
        <w:rPr>
          <w:rFonts w:ascii="Times New Roman" w:hAnsi="Times New Roman" w:cs="Times New Roman"/>
          <w:strike w:val="0"/>
          <w:sz w:val="28"/>
          <w:szCs w:val="28"/>
        </w:rPr>
      </w:r>
    </w:p>
    <w:p>
      <w:pPr>
        <w:pBdr/>
        <w:spacing w:line="17" w:lineRule="atLeast"/>
        <w:ind w:firstLine="709"/>
        <w:contextualSpacing w:val="true"/>
        <w:rPr>
          <w:rFonts w:ascii="Times New Roman" w:hAnsi="Times New Roman" w:cs="Times New Roman"/>
          <w:bCs/>
          <w:strike w:val="0"/>
          <w:sz w:val="28"/>
          <w:szCs w:val="28"/>
        </w:rPr>
      </w:pP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Перевезено грузов за период с начала 2025 года в количестве 1 852,2 тысяч тонн </w:t>
      </w:r>
      <w:r>
        <w:rPr>
          <w:rFonts w:ascii="Times New Roman" w:hAnsi="Times New Roman" w:cs="Times New Roman"/>
          <w:bCs/>
          <w:sz w:val="28"/>
          <w:szCs w:val="28"/>
        </w:rPr>
        <w:t xml:space="preserve">или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4,2 </w:t>
      </w:r>
      <w:r>
        <w:rPr>
          <w:rFonts w:ascii="Times New Roman" w:hAnsi="Times New Roman" w:cs="Times New Roman"/>
          <w:bCs/>
          <w:sz w:val="28"/>
          <w:szCs w:val="28"/>
        </w:rPr>
        <w:t xml:space="preserve">%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ниже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 уровня 20</w:t>
      </w:r>
      <w:r>
        <w:rPr>
          <w:rFonts w:ascii="Times New Roman" w:hAnsi="Times New Roman" w:cs="Times New Roman"/>
          <w:bCs/>
          <w:sz w:val="28"/>
          <w:szCs w:val="28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года. Прогнозные показатели выполнены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184 </w:t>
      </w:r>
      <w:r>
        <w:rPr>
          <w:rFonts w:ascii="Times New Roman" w:hAnsi="Times New Roman" w:cs="Times New Roman"/>
          <w:bCs/>
          <w:sz w:val="28"/>
          <w:szCs w:val="28"/>
        </w:rPr>
        <w:t xml:space="preserve">%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trike w:val="0"/>
          <w:sz w:val="28"/>
          <w:szCs w:val="28"/>
        </w:rPr>
      </w:r>
      <w:r>
        <w:rPr>
          <w:rFonts w:ascii="Times New Roman" w:hAnsi="Times New Roman" w:cs="Times New Roman"/>
          <w:bCs/>
          <w:strike w:val="0"/>
          <w:sz w:val="28"/>
          <w:szCs w:val="28"/>
        </w:rPr>
      </w:r>
    </w:p>
    <w:p>
      <w:pPr>
        <w:pBdr/>
        <w:spacing w:line="17" w:lineRule="atLeast"/>
        <w:ind w:firstLine="709"/>
        <w:contextualSpacing w:val="true"/>
        <w:rPr>
          <w:rFonts w:ascii="Times New Roman" w:hAnsi="Times New Roman" w:cs="Times New Roman"/>
          <w:bCs/>
          <w:strike w:val="0"/>
          <w:sz w:val="28"/>
          <w:szCs w:val="28"/>
        </w:rPr>
      </w:pP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Продано товаров несобственного производства за 2025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 год на 90,1 млрд. рублей, что на 21,7 % выше уровня 2024 года. Прогнозные показатели выполнены на 127 %.</w:t>
      </w:r>
      <w:r>
        <w:rPr>
          <w:rFonts w:ascii="Times New Roman" w:hAnsi="Times New Roman" w:cs="Times New Roman"/>
          <w:bCs/>
          <w:strike w:val="0"/>
          <w:sz w:val="28"/>
          <w:szCs w:val="28"/>
        </w:rPr>
      </w:r>
      <w:r>
        <w:rPr>
          <w:rFonts w:ascii="Times New Roman" w:hAnsi="Times New Roman" w:cs="Times New Roman"/>
          <w:bCs/>
          <w:strike w:val="0"/>
          <w:sz w:val="28"/>
          <w:szCs w:val="28"/>
        </w:rPr>
      </w:r>
    </w:p>
    <w:p>
      <w:pPr>
        <w:pBdr/>
        <w:spacing w:line="17" w:lineRule="atLeast"/>
        <w:ind w:firstLine="709"/>
        <w:contextualSpacing w:val="true"/>
        <w:rPr>
          <w:rFonts w:ascii="Times New Roman" w:hAnsi="Times New Roman" w:cs="Times New Roman"/>
          <w:bCs/>
          <w:strike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Объем инвестиций в основной капитал за период 2025 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года уменьшился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 на 20 % по сравнению с предыдущим периодом.</w:t>
      </w:r>
      <w:r>
        <w:rPr>
          <w:rFonts w:ascii="Times New Roman" w:hAnsi="Times New Roman" w:cs="Times New Roman"/>
          <w:bCs/>
          <w:strike w:val="0"/>
          <w:color w:val="ff0000"/>
          <w:sz w:val="28"/>
          <w:szCs w:val="28"/>
        </w:rPr>
      </w:r>
      <w:r>
        <w:rPr>
          <w:rFonts w:ascii="Times New Roman" w:hAnsi="Times New Roman" w:cs="Times New Roman"/>
          <w:bCs/>
          <w:strike w:val="0"/>
          <w:color w:val="ff0000"/>
          <w:sz w:val="28"/>
          <w:szCs w:val="28"/>
        </w:rPr>
      </w:r>
    </w:p>
    <w:p>
      <w:pPr>
        <w:pBdr/>
        <w:spacing w:line="17" w:lineRule="atLeast"/>
        <w:ind w:firstLine="709"/>
        <w:contextualSpacing w:val="true"/>
        <w:rPr>
          <w:rFonts w:ascii="Times New Roman" w:hAnsi="Times New Roman" w:cs="Times New Roman"/>
          <w:bCs/>
          <w:strike w:val="0"/>
          <w:sz w:val="28"/>
          <w:szCs w:val="28"/>
        </w:rPr>
      </w:pP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Объем строительных работ за период 2025 г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ода составил 16,1 млрд. рублей, что составляет 215,1 % прогнозных показателей.</w:t>
      </w:r>
      <w:r>
        <w:rPr>
          <w:rFonts w:ascii="Times New Roman" w:hAnsi="Times New Roman" w:cs="Times New Roman"/>
          <w:bCs/>
          <w:strike w:val="0"/>
          <w:sz w:val="28"/>
          <w:szCs w:val="28"/>
        </w:rPr>
      </w:r>
      <w:r>
        <w:rPr>
          <w:rFonts w:ascii="Times New Roman" w:hAnsi="Times New Roman" w:cs="Times New Roman"/>
          <w:bCs/>
          <w:strike w:val="0"/>
          <w:sz w:val="28"/>
          <w:szCs w:val="28"/>
        </w:rPr>
      </w:r>
    </w:p>
    <w:p>
      <w:pPr>
        <w:pBdr/>
        <w:spacing w:line="17" w:lineRule="atLeast"/>
        <w:ind w:firstLine="709"/>
        <w:contextualSpacing w:val="true"/>
        <w:rPr>
          <w:rFonts w:ascii="Times New Roman" w:hAnsi="Times New Roman" w:cs="Times New Roman"/>
          <w:bCs/>
          <w:strike w:val="0"/>
          <w:sz w:val="28"/>
          <w:szCs w:val="28"/>
        </w:rPr>
      </w:pPr>
      <w:r>
        <w:rPr>
          <w:rFonts w:ascii="Times New Roman" w:hAnsi="Times New Roman" w:cs="Times New Roman"/>
          <w:bCs/>
          <w:strike w:val="0"/>
          <w:sz w:val="28"/>
          <w:szCs w:val="28"/>
          <w:shd w:val="clear" w:color="auto" w:fill="ffffff"/>
        </w:rPr>
        <w:t xml:space="preserve">В отчетном году введено 150,4 тысяч квадратных метров жилья жилой застройки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. Увеличился темп роста по сравнению с предыдущим периодом в 6 раз. Исполнение прогноза составило 753,9 %.</w:t>
      </w:r>
      <w:r>
        <w:rPr>
          <w:rFonts w:ascii="Times New Roman" w:hAnsi="Times New Roman" w:cs="Times New Roman"/>
          <w:bCs/>
          <w:strike w:val="0"/>
          <w:sz w:val="28"/>
          <w:szCs w:val="28"/>
        </w:rPr>
      </w:r>
      <w:r>
        <w:rPr>
          <w:rFonts w:ascii="Times New Roman" w:hAnsi="Times New Roman" w:cs="Times New Roman"/>
          <w:bCs/>
          <w:strike w:val="0"/>
          <w:sz w:val="28"/>
          <w:szCs w:val="28"/>
        </w:rPr>
      </w:r>
    </w:p>
    <w:p>
      <w:pPr>
        <w:pBdr/>
        <w:spacing w:line="17" w:lineRule="atLeast"/>
        <w:ind w:firstLine="709"/>
        <w:contextualSpacing w:val="true"/>
        <w:rPr>
          <w:rFonts w:ascii="Times New Roman" w:hAnsi="Times New Roman" w:cs="Times New Roman"/>
          <w:bCs/>
          <w:strike w:val="0"/>
          <w:sz w:val="28"/>
          <w:szCs w:val="28"/>
        </w:rPr>
      </w:pP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Оборо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т организаций всех видов 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экономической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деятельности составил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 146,3 млрд. рублей. Исполнение прогноза составило 134,2 %.</w:t>
      </w:r>
      <w:r>
        <w:rPr>
          <w:rFonts w:ascii="Times New Roman" w:hAnsi="Times New Roman" w:cs="Times New Roman"/>
          <w:bCs/>
          <w:strike w:val="0"/>
          <w:sz w:val="28"/>
          <w:szCs w:val="28"/>
        </w:rPr>
      </w:r>
      <w:r>
        <w:rPr>
          <w:rFonts w:ascii="Times New Roman" w:hAnsi="Times New Roman" w:cs="Times New Roman"/>
          <w:bCs/>
          <w:strike w:val="0"/>
          <w:sz w:val="28"/>
          <w:szCs w:val="28"/>
        </w:rPr>
      </w:r>
    </w:p>
    <w:p>
      <w:pPr>
        <w:pBdr/>
        <w:shd w:val="clear" w:color="auto" w:fill="ffffff"/>
        <w:spacing w:line="17" w:lineRule="atLeast"/>
        <w:ind w:firstLine="709"/>
        <w:contextualSpacing w:val="true"/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Оборот общественного питания за период 2025 года составил 1,3 млрд. рублей,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 что на 3,5 % выше уровня 2024 года. Исполнение прогноза составило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 106,6 %.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</w:r>
    </w:p>
    <w:p>
      <w:pPr>
        <w:pBdr/>
        <w:shd w:val="clear" w:color="auto" w:fill="ffffff"/>
        <w:spacing w:line="17" w:lineRule="atLeast"/>
        <w:ind w:firstLine="709"/>
        <w:contextualSpacing w:val="true"/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По предварительным данным по сравнению с 2024 годом средняя заработная плата по 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Аксайскому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 городскому поселению увеличилась на 22,9 % и составила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 71585,62  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рублей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,ч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исленность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 работающих граждан увеличилось в отчетном году на 0,7% по отношению к 2024 го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ду.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</w:r>
    </w:p>
    <w:p>
      <w:pPr>
        <w:pStyle w:val="918"/>
        <w:widowControl w:val="true"/>
        <w:pBdr/>
        <w:spacing w:line="17" w:lineRule="atLeast"/>
        <w:ind w:right="0" w:firstLine="709"/>
        <w:jc w:val="both"/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Показатели реализации прогноза социально-экономического развития Аксайского городского поселения за 2025 год приведены в таблице.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</w:r>
    </w:p>
    <w:p>
      <w:pPr>
        <w:pStyle w:val="918"/>
        <w:widowControl w:val="true"/>
        <w:pBdr/>
        <w:spacing w:line="17" w:lineRule="atLeast"/>
        <w:ind w:right="0" w:firstLine="709"/>
        <w:jc w:val="both"/>
        <w:rPr>
          <w:rFonts w:ascii="Times New Roman" w:hAnsi="Times New Roman" w:cs="Times New Roman"/>
          <w:bCs/>
          <w:strike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Рассмотрев показатели социально-экономического прогноза по сравнению с предшествующим периодом,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 отслеживаются положительны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е показатели роста  особенно в сфере торговли и строительстве. Что положительно может 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отразится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  на 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приросте населения, увеличение денежных доходов жителей поселения. </w:t>
      </w:r>
      <w:r>
        <w:rPr>
          <w:rFonts w:ascii="Times New Roman" w:hAnsi="Times New Roman" w:cs="Times New Roman"/>
          <w:bCs/>
          <w:strike w:val="0"/>
          <w:color w:val="ff0000"/>
          <w:sz w:val="28"/>
          <w:szCs w:val="28"/>
        </w:rPr>
      </w:r>
      <w:r>
        <w:rPr>
          <w:rFonts w:ascii="Times New Roman" w:hAnsi="Times New Roman" w:cs="Times New Roman"/>
          <w:bCs/>
          <w:strike w:val="0"/>
          <w:color w:val="ff0000"/>
          <w:sz w:val="28"/>
          <w:szCs w:val="28"/>
        </w:rPr>
      </w:r>
    </w:p>
    <w:p>
      <w:pPr>
        <w:pBdr/>
        <w:spacing w:line="17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17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17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17" w:lineRule="atLeast"/>
        <w:ind w:firstLine="709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h="16800" w:orient="portrait" w:w="11900"/>
          <w:pgMar w:top="567" w:right="567" w:bottom="567" w:left="1134" w:header="720" w:footer="720" w:gutter="0"/>
          <w:cols w:num="1" w:sep="0" w:space="720" w:equalWidth="1"/>
        </w:sect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17" w:lineRule="atLeast"/>
        <w:ind/>
        <w:rPr/>
      </w:pPr>
      <w:r/>
      <w:r/>
    </w:p>
    <w:tbl>
      <w:tblPr>
        <w:tblW w:w="15676" w:type="dxa"/>
        <w:tblInd w:w="93" w:type="dxa"/>
        <w:tblBorders/>
        <w:tblLayout w:type="fixed"/>
        <w:tblLook w:val="04A0" w:firstRow="1" w:lastRow="0" w:firstColumn="1" w:lastColumn="0" w:noHBand="0" w:noVBand="1"/>
      </w:tblPr>
      <w:tblGrid>
        <w:gridCol w:w="816"/>
        <w:gridCol w:w="4967"/>
        <w:gridCol w:w="1525"/>
        <w:gridCol w:w="1540"/>
        <w:gridCol w:w="1540"/>
        <w:gridCol w:w="1540"/>
        <w:gridCol w:w="1540"/>
        <w:gridCol w:w="1107"/>
        <w:gridCol w:w="1100"/>
      </w:tblGrid>
      <w:tr>
        <w:trPr>
          <w:trHeight w:val="690"/>
        </w:trPr>
        <w:tc>
          <w:tcPr>
            <w:gridSpan w:val="9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76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сновные показатели реализации прогноза социально - экономического                                                                                                                                               развития Аксайского городского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2025 год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6" w:type="dxa"/>
            <w:vAlign w:val="bottom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7" w:type="dxa"/>
            <w:vAlign w:val="bottom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5" w:type="dxa"/>
            <w:vAlign w:val="bottom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07" w:type="dxa"/>
            <w:vAlign w:val="bottom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vAlign w:val="bottom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</w:tr>
      <w:tr>
        <w:trPr>
          <w:trHeight w:val="43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показатели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30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30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Исполнение, 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Прогноз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right="-243" w:firstLine="0" w:left="-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true"/>
              <w:pBdr/>
              <w:spacing w:line="17" w:lineRule="atLeast"/>
              <w:ind w:right="-243" w:firstLine="0" w:left="-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прогнозу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оценке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85"/>
        </w:trPr>
        <w:tc>
          <w:tcPr>
            <w:gridSpan w:val="9"/>
            <w:shd w:val="clear" w:color="ffffff" w:fill="ffffff"/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4" w:space="0"/>
            </w:tcBorders>
            <w:tcW w:w="156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 Рынок труда и занятость населения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>
          <w:trHeight w:val="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Среднесписочная численность работников (без внешних совместителей и работников </w:t>
            </w:r>
            <w:r>
              <w:rPr>
                <w:rFonts w:ascii="Times New Roman" w:hAnsi="Times New Roman" w:cs="Times New Roman"/>
              </w:rPr>
              <w:t xml:space="preserve">несписочного</w:t>
            </w:r>
            <w:r>
              <w:rPr>
                <w:rFonts w:ascii="Times New Roman" w:hAnsi="Times New Roman" w:cs="Times New Roman"/>
              </w:rPr>
              <w:t xml:space="preserve"> состава)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человек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20 596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19 993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20 043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20 190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98,0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101,0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rPr>
          <w:trHeight w:val="315"/>
        </w:trPr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Фонд  заработной платы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15 878 280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16 091 689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16 572 787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17 343 764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109,2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107,8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Среднемесячная заработная плата одного работника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64 245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67 072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58 267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71 586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111,4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106,7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rPr>
          <w:trHeight w:val="630"/>
        </w:trPr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Численность зарегистрированных безработных (на конец периода)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человек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198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126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284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179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90,4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142,1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Уровень регистрируемой безработицы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процентов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0,48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0,31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0,45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0,30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62,5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96,8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rPr>
          <w:trHeight w:val="615"/>
        </w:trPr>
        <w:tc>
          <w:tcPr>
            <w:gridSpan w:val="9"/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none" w:color="000000" w:sz="4" w:space="0"/>
              <w:right w:val="single" w:color="000000" w:sz="4" w:space="0"/>
            </w:tcBorders>
            <w:tcW w:w="156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Промышленное производство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>
          <w:trHeight w:val="243"/>
        </w:trPr>
        <w:tc>
          <w:tcPr>
            <w:shd w:val="clear" w:color="ffffcc" w:fill="ffffcc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Отгружено товаров собственного производства, выполнено работ и услуг собственными силами (без НДС и акцизов) по крупным и средним организациям всех видов экономической деятельности, 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51 524 845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51 116 837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40 199 299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56 162 596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109,0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109,9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обрабатывающие производства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17 661 600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18 867 669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9 701 341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15 659 233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88,7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электрической энергией, газом и паром; кондиционирование воздуха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992 450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967 300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917 618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848 797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10 356 313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8 632 908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8 022 113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16 133 248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155,8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186,9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торговля оптовая и розничная; ремонт автотранспортных средств и мотоциклов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1 479 712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4 119 001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3 897 125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3 862 977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261,1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93,8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транпортировка</w:t>
            </w:r>
            <w:r>
              <w:rPr>
                <w:rFonts w:ascii="Times New Roman" w:hAnsi="Times New Roman" w:cs="Times New Roman"/>
              </w:rPr>
              <w:t xml:space="preserve"> и хранение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11 682 007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10 657 630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11 664 080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10 502 102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89,9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98,5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гостиниц и предприятий общественного питания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1 057 681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1 054 536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1 007 842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1 116 710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по операциям с недвижимым имуществом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2 930 300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3 001 182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3 065 109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3 576 707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122,1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119,2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профессиональная, научная и техническая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636 078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2 724 551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2 671 128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4 407 361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692,9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161,8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административная и </w:t>
            </w:r>
            <w:r>
              <w:rPr>
                <w:rFonts w:ascii="Times New Roman" w:hAnsi="Times New Roman" w:cs="Times New Roman"/>
              </w:rPr>
              <w:t xml:space="preserve">сопутствующие</w:t>
            </w:r>
            <w:r>
              <w:rPr>
                <w:rFonts w:ascii="Times New Roman" w:hAnsi="Times New Roman" w:cs="Times New Roman"/>
              </w:rPr>
              <w:t xml:space="preserve"> дополнительные услуги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1 059 660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1 412 880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1 350 000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1 421 888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134,2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431"/>
        </w:trPr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71 876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71 060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69 982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69 415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97,7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в области здравоохранения и социальных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970 402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259 674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1 051 877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285 728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в области культуры, спорта, организации досуга и развлечений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81 572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108 762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108 762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98 573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gridSpan w:val="9"/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6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4. Потребительский рынок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Перевезено грузов по крупным и средним организациям всех видов экономической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тонн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987 631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1 006 396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1 933 279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1 852 232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187,5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184,0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Грузооборот по крупным и средним организациям всех видов экономической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ткм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43 535 104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44 057 525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95 915 004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104 526 903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240,1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237,3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Продано товаров несобственного производства по крупным и средним организациям всех видов экономической деятельности, 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69 678 090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70 932 295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74 053 982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90 092 039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129,3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127,0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обрабатывающие производства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662 608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677 848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701 951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2 251 936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339,9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332,2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торговля оптовая и розничная; ремонт автотранспортных средств и мотоциклов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68 998 720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71 068 682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72 647 315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86 390 148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125,2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121,6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Оборот  организаций всех видов экономической деятельности, 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105 703 012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108 979 806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163 246 387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146 254 635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138,4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134,2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обрабатывающие производства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10 061 761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10 262 997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10 403 292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17 911 168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178,0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174,5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электрической энергией, газом и паром; кондиционирование воздуха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1 809 753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1 854 997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1 618 520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1 658 178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89,4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7 334 155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7 502 841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8 023 648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16 135 163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215,1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4.4.4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торговля оптовая и розничная; ремонт автотранспортных средств и мотоциклов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69 748 814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71 353 037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74 544 440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90 253 126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126,5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4.4.5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транпортировка</w:t>
            </w:r>
            <w:r>
              <w:rPr>
                <w:rFonts w:ascii="Times New Roman" w:hAnsi="Times New Roman" w:cs="Times New Roman"/>
              </w:rPr>
              <w:t xml:space="preserve"> и хранение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10 946 901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10 979 742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11 664 080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10 502 102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4.4.6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гостиниц и предприятий общественного питания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590 083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605 426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1 007 842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1 023 967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173,5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169,1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4.4.7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по операциям с недвижимым имуществом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2 980 175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3 004 017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1 723 084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3 578 810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4.4.8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профессиональная, научная и техническая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576 733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583 653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3 065 109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4 407 361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764,2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755,1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4.4.9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71 804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72 163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69 982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69 415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96,2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4.4.10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в области здравоохранения и социальных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852 327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865 112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1 051 877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285 728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4.4.11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оборот общественного питания</w:t>
            </w:r>
            <w:r>
              <w:rPr>
                <w:rFonts w:ascii="Times New Roman" w:hAnsi="Times New Roman" w:cs="Times New Roman"/>
              </w:rPr>
              <w:br/>
              <w:t xml:space="preserve">по крупным и средним организациям всех видов экономической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1 195 420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1 231 283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1 268 221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1 312 200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109,8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106,6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85"/>
        </w:trPr>
        <w:tc>
          <w:tcPr>
            <w:gridSpan w:val="9"/>
            <w:shd w:val="clear" w:color="ffffff" w:fill="ffffff"/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4" w:space="0"/>
            </w:tcBorders>
            <w:tcW w:w="156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5. Строительство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>
          <w:trHeight w:val="315"/>
        </w:trPr>
        <w:tc>
          <w:tcPr>
            <w:shd w:val="clear" w:color="ffffcc" w:fill="ffffcc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Ввод объектов в эксплуатацию, в том числе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квадратных метров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68 962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69 100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78 069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161 554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234,3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233,8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жилая застройка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квадратных метров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19 906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19 946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24 053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150 380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755,4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753,9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465"/>
        </w:trPr>
        <w:tc>
          <w:tcPr>
            <w:gridSpan w:val="9"/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6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6. Инвестиции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>
          <w:trHeight w:val="315"/>
        </w:trPr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Инвестиции в основной капитал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1 613 250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1 632 609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4 957 654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3 967 070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245,9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243,0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Инвестиции в основной капитал, без учета бюджетных средств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1 613 250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1 632 609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3 202 339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2 881 301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178,6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176,5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Bdr/>
        <w:spacing w:line="17" w:lineRule="atLeast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h="11900" w:orient="landscape" w:w="16800"/>
      <w:pgMar w:top="426" w:right="1491" w:bottom="567" w:left="567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nsolas">
    <w:panose1 w:val="020B0606020202030204"/>
  </w:font>
  <w:font w:name="Segoe UI">
    <w:panose1 w:val="020F0502020204030204"/>
  </w:font>
  <w:font w:name="Times New Roman CYR">
    <w:panose1 w:val="02020603050405020304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927"/>
        </w:tabs>
        <w:spacing/>
        <w:ind w:hanging="360" w:left="927"/>
      </w:pPr>
      <w:rPr>
        <w:rFonts w:cs="Times New Roman"/>
      </w:rPr>
      <w:start w:val="1"/>
      <w:suff w:val="tab"/>
    </w:lvl>
    <w:lvl w:ilvl="1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ฑኼ½䅀ƞኼ½ኼ½ቔ½ኼ½ꐈ໳ፄ½兒憀䯾憀ቸ½ݱฐ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lvlText w:val="ฑኼ½䅀ƞኼ½ኼ½ቔ½ኼ½ꐈ໳ፄ½兒憀䯾憀ቸ½ݱฐ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lvlText w:val="ฑኼ½䅀ƞኼ½ኼ½ቔ½ኼ½ꐈ໳ፄ½兒憀䯾憀ቸ½ݱฐ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lvlText w:val="ฑኼ½䅀ƞኼ½ኼ½ቔ½ኼ½ꐈ໳ፄ½兒憀䯾憀ቸ½ݱฐ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lvlText w:val="ฑኼ½䅀ƞኼ½ኼ½ቔ½ኼ½ꐈ໳ፄ½兒憀䯾憀ቸ½ݱฐ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lvlText w:val="ฑኼ½䅀ƞኼ½ኼ½ቔ½ኼ½ꐈ໳ፄ½兒憀䯾憀ቸ½ݱฐ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lvlText w:val="ฑኼ½䅀ƞኼ½ኼ½ቔ½ኼ½ꐈ໳ፄ½兒憀瘃憀쐸撓刀Ƒኄ½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lvlText w:val="ฑኼ½䅀ƞኼ½ኼ½ቔ½ኼ½ꐈ໳ፄ½兒憀䯾憀ቸ½ݱฐ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Title Char"/>
    <w:basedOn w:val="709"/>
    <w:link w:val="85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2">
    <w:name w:val="Subtitle Char"/>
    <w:basedOn w:val="709"/>
    <w:link w:val="85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3">
    <w:name w:val="Quote Char"/>
    <w:basedOn w:val="709"/>
    <w:link w:val="86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04">
    <w:name w:val="Intense Quote Char"/>
    <w:basedOn w:val="709"/>
    <w:link w:val="86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05">
    <w:name w:val="Footnote Text Char"/>
    <w:basedOn w:val="709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706">
    <w:name w:val="Endnote Text Char"/>
    <w:basedOn w:val="709"/>
    <w:link w:val="881"/>
    <w:uiPriority w:val="99"/>
    <w:semiHidden/>
    <w:pPr>
      <w:pBdr/>
      <w:spacing/>
      <w:ind/>
    </w:pPr>
    <w:rPr>
      <w:sz w:val="20"/>
      <w:szCs w:val="20"/>
    </w:rPr>
  </w:style>
  <w:style w:type="paragraph" w:styleId="707" w:default="1">
    <w:name w:val="Normal"/>
    <w:qFormat/>
    <w:pPr>
      <w:widowControl w:val="false"/>
      <w:pBdr/>
      <w:spacing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708">
    <w:name w:val="Heading 1"/>
    <w:basedOn w:val="707"/>
    <w:next w:val="707"/>
    <w:link w:val="897"/>
    <w:uiPriority w:val="9"/>
    <w:qFormat/>
    <w:pPr>
      <w:pBdr/>
      <w:spacing w:after="108" w:before="108"/>
      <w:ind w:firstLine="0"/>
      <w:jc w:val="center"/>
      <w:outlineLvl w:val="0"/>
    </w:pPr>
    <w:rPr>
      <w:rFonts w:ascii="Cambria" w:hAnsi="Cambria" w:cs="Times New Roman"/>
      <w:b/>
      <w:bCs/>
      <w:sz w:val="32"/>
      <w:szCs w:val="32"/>
      <w:lang w:val="en-US" w:eastAsia="en-US"/>
    </w:rPr>
  </w:style>
  <w:style w:type="character" w:styleId="709" w:default="1">
    <w:name w:val="Default Paragraph Font"/>
    <w:uiPriority w:val="1"/>
    <w:semiHidden/>
    <w:unhideWhenUsed/>
    <w:pPr>
      <w:pBdr/>
      <w:spacing/>
      <w:ind/>
    </w:pPr>
  </w:style>
  <w:style w:type="table" w:styleId="71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1" w:default="1">
    <w:name w:val="No List"/>
    <w:uiPriority w:val="99"/>
    <w:semiHidden/>
    <w:unhideWhenUsed/>
    <w:pPr>
      <w:pBdr/>
      <w:spacing/>
      <w:ind/>
    </w:pPr>
  </w:style>
  <w:style w:type="table" w:styleId="712">
    <w:name w:val="Table Grid"/>
    <w:basedOn w:val="710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Table Grid Light"/>
    <w:basedOn w:val="710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Plain Table 1"/>
    <w:basedOn w:val="710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Plain Table 2"/>
    <w:basedOn w:val="710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Plain Table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Plain Table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Plain Table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1 Light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1 Light 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2 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3 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4"/>
    <w:basedOn w:val="71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4 - Accent 1"/>
    <w:basedOn w:val="71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2"/>
    <w:basedOn w:val="71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3"/>
    <w:basedOn w:val="71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4"/>
    <w:basedOn w:val="71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5"/>
    <w:basedOn w:val="71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6"/>
    <w:basedOn w:val="71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5 Dark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5 Dark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6 Colorful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6 Colorful 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7 Colorful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7 Colorful 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1 Light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1 Light 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2 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3 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4 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5 Dark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5 Dark 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6 Colorful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6 Colorful 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7 Colorful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7 Colorful 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ned - Accent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 1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2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3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4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5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6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&amp; Lined - Accent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 1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2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3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4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5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6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8" w:customStyle="1">
    <w:name w:val="Heading 1"/>
    <w:basedOn w:val="707"/>
    <w:next w:val="707"/>
    <w:link w:val="84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eastAsia="Arial"/>
      <w:color w:val="365f91" w:themeColor="accent1" w:themeShade="BF"/>
      <w:sz w:val="40"/>
      <w:szCs w:val="40"/>
    </w:rPr>
  </w:style>
  <w:style w:type="paragraph" w:styleId="839" w:customStyle="1">
    <w:name w:val="Heading 2"/>
    <w:basedOn w:val="707"/>
    <w:next w:val="707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eastAsia="Arial"/>
      <w:color w:val="365f91" w:themeColor="accent1" w:themeShade="BF"/>
      <w:sz w:val="32"/>
      <w:szCs w:val="32"/>
    </w:rPr>
  </w:style>
  <w:style w:type="paragraph" w:styleId="840" w:customStyle="1">
    <w:name w:val="Heading 3"/>
    <w:basedOn w:val="707"/>
    <w:next w:val="707"/>
    <w:link w:val="84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="Arial"/>
      <w:color w:val="365f91" w:themeColor="accent1" w:themeShade="BF"/>
      <w:sz w:val="28"/>
      <w:szCs w:val="28"/>
    </w:rPr>
  </w:style>
  <w:style w:type="paragraph" w:styleId="841" w:customStyle="1">
    <w:name w:val="Heading 4"/>
    <w:basedOn w:val="707"/>
    <w:next w:val="707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="Arial"/>
      <w:i/>
      <w:iCs/>
      <w:color w:val="365f91" w:themeColor="accent1" w:themeShade="BF"/>
    </w:rPr>
  </w:style>
  <w:style w:type="paragraph" w:styleId="842" w:customStyle="1">
    <w:name w:val="Heading 5"/>
    <w:basedOn w:val="707"/>
    <w:next w:val="707"/>
    <w:link w:val="85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="Arial"/>
      <w:color w:val="365f91" w:themeColor="accent1" w:themeShade="BF"/>
    </w:rPr>
  </w:style>
  <w:style w:type="paragraph" w:styleId="843" w:customStyle="1">
    <w:name w:val="Heading 6"/>
    <w:basedOn w:val="707"/>
    <w:next w:val="707"/>
    <w:link w:val="85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eastAsia="Arial"/>
      <w:i/>
      <w:iCs/>
      <w:color w:val="595959" w:themeColor="text1" w:themeTint="A6"/>
    </w:rPr>
  </w:style>
  <w:style w:type="paragraph" w:styleId="844" w:customStyle="1">
    <w:name w:val="Heading 7"/>
    <w:basedOn w:val="707"/>
    <w:next w:val="707"/>
    <w:link w:val="85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eastAsia="Arial"/>
      <w:color w:val="595959" w:themeColor="text1" w:themeTint="A6"/>
    </w:rPr>
  </w:style>
  <w:style w:type="paragraph" w:styleId="845" w:customStyle="1">
    <w:name w:val="Heading 8"/>
    <w:basedOn w:val="707"/>
    <w:next w:val="707"/>
    <w:link w:val="85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eastAsia="Arial"/>
      <w:i/>
      <w:iCs/>
      <w:color w:val="272727" w:themeColor="text1" w:themeTint="D8"/>
    </w:rPr>
  </w:style>
  <w:style w:type="paragraph" w:styleId="846" w:customStyle="1">
    <w:name w:val="Heading 9"/>
    <w:basedOn w:val="707"/>
    <w:next w:val="707"/>
    <w:link w:val="85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eastAsia="Arial"/>
      <w:i/>
      <w:iCs/>
      <w:color w:val="272727" w:themeColor="text1" w:themeTint="D8"/>
    </w:rPr>
  </w:style>
  <w:style w:type="character" w:styleId="847" w:customStyle="1">
    <w:name w:val="Heading 1 Char"/>
    <w:basedOn w:val="709"/>
    <w:link w:val="83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48" w:customStyle="1">
    <w:name w:val="Heading 2 Char"/>
    <w:basedOn w:val="709"/>
    <w:link w:val="83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49" w:customStyle="1">
    <w:name w:val="Heading 3 Char"/>
    <w:basedOn w:val="709"/>
    <w:link w:val="84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50" w:customStyle="1">
    <w:name w:val="Heading 4 Char"/>
    <w:basedOn w:val="709"/>
    <w:link w:val="841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51" w:customStyle="1">
    <w:name w:val="Heading 5 Char"/>
    <w:basedOn w:val="709"/>
    <w:link w:val="84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52" w:customStyle="1">
    <w:name w:val="Heading 6 Char"/>
    <w:basedOn w:val="709"/>
    <w:link w:val="8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3" w:customStyle="1">
    <w:name w:val="Heading 7 Char"/>
    <w:basedOn w:val="709"/>
    <w:link w:val="8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4" w:customStyle="1">
    <w:name w:val="Heading 8 Char"/>
    <w:basedOn w:val="709"/>
    <w:link w:val="8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5" w:customStyle="1">
    <w:name w:val="Heading 9 Char"/>
    <w:basedOn w:val="709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6">
    <w:name w:val="Title"/>
    <w:basedOn w:val="707"/>
    <w:next w:val="707"/>
    <w:link w:val="857"/>
    <w:uiPriority w:val="10"/>
    <w:qFormat/>
    <w:pPr>
      <w:pBdr/>
      <w:spacing w:after="80"/>
      <w:ind/>
      <w:contextualSpacing w:val="true"/>
    </w:pPr>
    <w:rPr>
      <w:rFonts w:eastAsia="Arial"/>
      <w:spacing w:val="-10"/>
      <w:sz w:val="56"/>
      <w:szCs w:val="56"/>
    </w:rPr>
  </w:style>
  <w:style w:type="character" w:styleId="857" w:customStyle="1">
    <w:name w:val="Название Знак"/>
    <w:basedOn w:val="709"/>
    <w:link w:val="85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8">
    <w:name w:val="Subtitle"/>
    <w:basedOn w:val="707"/>
    <w:next w:val="707"/>
    <w:link w:val="859"/>
    <w:uiPriority w:val="11"/>
    <w:qFormat/>
    <w:pPr>
      <w:numPr>
        <w:ilvl w:val="1"/>
      </w:numPr>
      <w:pBdr/>
      <w:spacing/>
      <w:ind w:firstLine="720"/>
    </w:pPr>
    <w:rPr>
      <w:color w:val="595959" w:themeColor="text1" w:themeTint="A6"/>
      <w:spacing w:val="15"/>
      <w:sz w:val="28"/>
      <w:szCs w:val="28"/>
    </w:rPr>
  </w:style>
  <w:style w:type="character" w:styleId="859" w:customStyle="1">
    <w:name w:val="Подзаголовок Знак"/>
    <w:basedOn w:val="709"/>
    <w:link w:val="85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0">
    <w:name w:val="Quote"/>
    <w:basedOn w:val="707"/>
    <w:next w:val="707"/>
    <w:link w:val="86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1" w:customStyle="1">
    <w:name w:val="Цитата 2 Знак"/>
    <w:basedOn w:val="709"/>
    <w:link w:val="86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2">
    <w:name w:val="List Paragraph"/>
    <w:basedOn w:val="707"/>
    <w:uiPriority w:val="34"/>
    <w:qFormat/>
    <w:pPr>
      <w:pBdr/>
      <w:spacing/>
      <w:ind w:left="720"/>
      <w:contextualSpacing w:val="true"/>
    </w:pPr>
  </w:style>
  <w:style w:type="character" w:styleId="863">
    <w:name w:val="Intense Emphasis"/>
    <w:basedOn w:val="70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64">
    <w:name w:val="Intense Quote"/>
    <w:basedOn w:val="707"/>
    <w:next w:val="707"/>
    <w:link w:val="865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65" w:customStyle="1">
    <w:name w:val="Выделенная цитата Знак"/>
    <w:basedOn w:val="709"/>
    <w:link w:val="864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66">
    <w:name w:val="Intense Reference"/>
    <w:basedOn w:val="70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67">
    <w:name w:val="No Spacing"/>
    <w:basedOn w:val="707"/>
    <w:uiPriority w:val="1"/>
    <w:qFormat/>
    <w:pPr>
      <w:pBdr/>
      <w:spacing/>
      <w:ind/>
    </w:pPr>
  </w:style>
  <w:style w:type="character" w:styleId="868">
    <w:name w:val="Subtle Emphasis"/>
    <w:basedOn w:val="7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9">
    <w:name w:val="Emphasis"/>
    <w:uiPriority w:val="20"/>
    <w:qFormat/>
    <w:pPr>
      <w:pBdr/>
      <w:spacing/>
      <w:ind/>
    </w:pPr>
    <w:rPr>
      <w:rFonts w:cs="Times New Roman"/>
      <w:i/>
      <w:iCs/>
    </w:rPr>
  </w:style>
  <w:style w:type="character" w:styleId="870">
    <w:name w:val="Strong"/>
    <w:basedOn w:val="709"/>
    <w:uiPriority w:val="22"/>
    <w:qFormat/>
    <w:pPr>
      <w:pBdr/>
      <w:spacing/>
      <w:ind/>
    </w:pPr>
    <w:rPr>
      <w:b/>
      <w:bCs/>
    </w:rPr>
  </w:style>
  <w:style w:type="character" w:styleId="871">
    <w:name w:val="Subtle Reference"/>
    <w:basedOn w:val="7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2">
    <w:name w:val="Book Title"/>
    <w:basedOn w:val="70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3" w:customStyle="1">
    <w:name w:val="Header"/>
    <w:basedOn w:val="707"/>
    <w:link w:val="87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4" w:customStyle="1">
    <w:name w:val="Header Char"/>
    <w:basedOn w:val="709"/>
    <w:link w:val="873"/>
    <w:uiPriority w:val="99"/>
    <w:pPr>
      <w:pBdr/>
      <w:spacing/>
      <w:ind/>
    </w:pPr>
  </w:style>
  <w:style w:type="paragraph" w:styleId="875" w:customStyle="1">
    <w:name w:val="Footer"/>
    <w:basedOn w:val="707"/>
    <w:link w:val="87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6" w:customStyle="1">
    <w:name w:val="Footer Char"/>
    <w:basedOn w:val="709"/>
    <w:link w:val="875"/>
    <w:uiPriority w:val="99"/>
    <w:pPr>
      <w:pBdr/>
      <w:spacing/>
      <w:ind/>
    </w:pPr>
  </w:style>
  <w:style w:type="paragraph" w:styleId="877" w:customStyle="1">
    <w:name w:val="Caption"/>
    <w:basedOn w:val="707"/>
    <w:next w:val="707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78">
    <w:name w:val="footnote text"/>
    <w:basedOn w:val="707"/>
    <w:link w:val="87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79" w:customStyle="1">
    <w:name w:val="Текст сноски Знак"/>
    <w:basedOn w:val="709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footnote reference"/>
    <w:basedOn w:val="709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707"/>
    <w:link w:val="882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2" w:customStyle="1">
    <w:name w:val="Текст концевой сноски Знак"/>
    <w:basedOn w:val="709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endnote reference"/>
    <w:basedOn w:val="709"/>
    <w:uiPriority w:val="99"/>
    <w:semiHidden/>
    <w:unhideWhenUsed/>
    <w:pPr>
      <w:pBdr/>
      <w:spacing/>
      <w:ind/>
    </w:pPr>
    <w:rPr>
      <w:vertAlign w:val="superscript"/>
    </w:rPr>
  </w:style>
  <w:style w:type="character" w:styleId="884">
    <w:name w:val="Hyperlink"/>
    <w:uiPriority w:val="99"/>
    <w:unhideWhenUsed/>
    <w:pPr>
      <w:pBdr/>
      <w:spacing/>
      <w:ind/>
    </w:pPr>
    <w:rPr>
      <w:rFonts w:cs="Times New Roman"/>
      <w:color w:val="0000ff"/>
      <w:u w:val="single"/>
    </w:rPr>
  </w:style>
  <w:style w:type="character" w:styleId="885">
    <w:name w:val="FollowedHyperlink"/>
    <w:basedOn w:val="70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86">
    <w:name w:val="toc 1"/>
    <w:basedOn w:val="707"/>
    <w:next w:val="707"/>
    <w:uiPriority w:val="39"/>
    <w:unhideWhenUsed/>
    <w:pPr>
      <w:pBdr/>
      <w:spacing w:after="100"/>
      <w:ind/>
    </w:pPr>
  </w:style>
  <w:style w:type="paragraph" w:styleId="887">
    <w:name w:val="toc 2"/>
    <w:basedOn w:val="707"/>
    <w:next w:val="707"/>
    <w:uiPriority w:val="39"/>
    <w:unhideWhenUsed/>
    <w:pPr>
      <w:pBdr/>
      <w:spacing w:after="100"/>
      <w:ind w:left="220"/>
    </w:pPr>
  </w:style>
  <w:style w:type="paragraph" w:styleId="888">
    <w:name w:val="toc 3"/>
    <w:basedOn w:val="707"/>
    <w:next w:val="707"/>
    <w:uiPriority w:val="39"/>
    <w:unhideWhenUsed/>
    <w:pPr>
      <w:pBdr/>
      <w:spacing w:after="100"/>
      <w:ind w:left="440"/>
    </w:pPr>
  </w:style>
  <w:style w:type="paragraph" w:styleId="889">
    <w:name w:val="toc 4"/>
    <w:basedOn w:val="707"/>
    <w:next w:val="707"/>
    <w:uiPriority w:val="39"/>
    <w:unhideWhenUsed/>
    <w:pPr>
      <w:pBdr/>
      <w:spacing w:after="100"/>
      <w:ind w:left="660"/>
    </w:pPr>
  </w:style>
  <w:style w:type="paragraph" w:styleId="890">
    <w:name w:val="toc 5"/>
    <w:basedOn w:val="707"/>
    <w:next w:val="707"/>
    <w:uiPriority w:val="39"/>
    <w:unhideWhenUsed/>
    <w:pPr>
      <w:pBdr/>
      <w:spacing w:after="100"/>
      <w:ind w:left="880"/>
    </w:pPr>
  </w:style>
  <w:style w:type="paragraph" w:styleId="891">
    <w:name w:val="toc 6"/>
    <w:basedOn w:val="707"/>
    <w:next w:val="707"/>
    <w:uiPriority w:val="39"/>
    <w:unhideWhenUsed/>
    <w:pPr>
      <w:pBdr/>
      <w:spacing w:after="100"/>
      <w:ind w:left="1100"/>
    </w:pPr>
  </w:style>
  <w:style w:type="paragraph" w:styleId="892">
    <w:name w:val="toc 7"/>
    <w:basedOn w:val="707"/>
    <w:next w:val="707"/>
    <w:uiPriority w:val="39"/>
    <w:unhideWhenUsed/>
    <w:pPr>
      <w:pBdr/>
      <w:spacing w:after="100"/>
      <w:ind w:left="1320"/>
    </w:pPr>
  </w:style>
  <w:style w:type="paragraph" w:styleId="893">
    <w:name w:val="toc 8"/>
    <w:basedOn w:val="707"/>
    <w:next w:val="707"/>
    <w:uiPriority w:val="39"/>
    <w:unhideWhenUsed/>
    <w:pPr>
      <w:pBdr/>
      <w:spacing w:after="100"/>
      <w:ind w:left="1540"/>
    </w:pPr>
  </w:style>
  <w:style w:type="paragraph" w:styleId="894">
    <w:name w:val="toc 9"/>
    <w:basedOn w:val="707"/>
    <w:next w:val="707"/>
    <w:uiPriority w:val="39"/>
    <w:unhideWhenUsed/>
    <w:pPr>
      <w:pBdr/>
      <w:spacing w:after="100"/>
      <w:ind w:left="1760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basedOn w:val="707"/>
    <w:next w:val="707"/>
    <w:uiPriority w:val="99"/>
    <w:unhideWhenUsed/>
    <w:pPr>
      <w:pBdr/>
      <w:spacing/>
      <w:ind/>
    </w:pPr>
  </w:style>
  <w:style w:type="character" w:styleId="897" w:customStyle="1">
    <w:name w:val="Заголовок 1 Знак"/>
    <w:link w:val="708"/>
    <w:uiPriority w:val="9"/>
    <w:pPr>
      <w:pBdr/>
      <w:spacing/>
      <w:ind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898" w:customStyle="1">
    <w:name w:val="Цветовое выделение"/>
    <w:uiPriority w:val="99"/>
    <w:pPr>
      <w:pBdr/>
      <w:spacing/>
      <w:ind/>
    </w:pPr>
    <w:rPr>
      <w:b/>
      <w:color w:val="26282f"/>
    </w:rPr>
  </w:style>
  <w:style w:type="character" w:styleId="899" w:customStyle="1">
    <w:name w:val="Гипертекстовая ссылка"/>
    <w:uiPriority w:val="99"/>
    <w:pPr>
      <w:pBdr/>
      <w:spacing/>
      <w:ind/>
    </w:pPr>
    <w:rPr>
      <w:rFonts w:cs="Times New Roman"/>
      <w:b/>
      <w:bCs/>
      <w:color w:val="106bbe"/>
    </w:rPr>
  </w:style>
  <w:style w:type="paragraph" w:styleId="900" w:customStyle="1">
    <w:name w:val="Текст (справка)"/>
    <w:basedOn w:val="707"/>
    <w:next w:val="707"/>
    <w:uiPriority w:val="99"/>
    <w:pPr>
      <w:pBdr/>
      <w:spacing/>
      <w:ind w:right="170" w:firstLine="0" w:left="170"/>
      <w:jc w:val="left"/>
    </w:pPr>
  </w:style>
  <w:style w:type="paragraph" w:styleId="901" w:customStyle="1">
    <w:name w:val="Комментарий"/>
    <w:basedOn w:val="900"/>
    <w:next w:val="707"/>
    <w:uiPriority w:val="99"/>
    <w:pPr>
      <w:pBdr/>
      <w:spacing w:before="75"/>
      <w:ind w:right="0"/>
      <w:jc w:val="both"/>
    </w:pPr>
    <w:rPr>
      <w:color w:val="353842"/>
      <w:shd w:val="clear" w:color="auto" w:fill="f0f0f0"/>
    </w:rPr>
  </w:style>
  <w:style w:type="paragraph" w:styleId="902" w:customStyle="1">
    <w:name w:val="Информация об изменениях документа"/>
    <w:basedOn w:val="901"/>
    <w:next w:val="707"/>
    <w:uiPriority w:val="99"/>
    <w:pPr>
      <w:pBdr/>
      <w:spacing/>
      <w:ind/>
    </w:pPr>
    <w:rPr>
      <w:i/>
      <w:iCs/>
    </w:rPr>
  </w:style>
  <w:style w:type="paragraph" w:styleId="903" w:customStyle="1">
    <w:name w:val="Нормальный (таблица)"/>
    <w:basedOn w:val="707"/>
    <w:next w:val="707"/>
    <w:pPr>
      <w:pBdr/>
      <w:spacing/>
      <w:ind w:firstLine="0"/>
    </w:pPr>
  </w:style>
  <w:style w:type="paragraph" w:styleId="904" w:customStyle="1">
    <w:name w:val="Таблицы (моноширинный)"/>
    <w:basedOn w:val="707"/>
    <w:next w:val="707"/>
    <w:uiPriority w:val="99"/>
    <w:pPr>
      <w:pBdr/>
      <w:spacing/>
      <w:ind w:firstLine="0"/>
      <w:jc w:val="left"/>
    </w:pPr>
    <w:rPr>
      <w:rFonts w:ascii="Courier New" w:hAnsi="Courier New" w:cs="Courier New"/>
    </w:rPr>
  </w:style>
  <w:style w:type="paragraph" w:styleId="905" w:customStyle="1">
    <w:name w:val="Прижатый влево"/>
    <w:basedOn w:val="707"/>
    <w:next w:val="707"/>
    <w:pPr>
      <w:pBdr/>
      <w:spacing/>
      <w:ind w:firstLine="0"/>
      <w:jc w:val="left"/>
    </w:pPr>
  </w:style>
  <w:style w:type="character" w:styleId="906" w:customStyle="1">
    <w:name w:val="Цветовое выделение для Текст"/>
    <w:uiPriority w:val="99"/>
    <w:pPr>
      <w:pBdr/>
      <w:spacing/>
      <w:ind/>
    </w:pPr>
  </w:style>
  <w:style w:type="paragraph" w:styleId="907" w:customStyle="1">
    <w:name w:val="ConsTitle"/>
    <w:pPr>
      <w:widowControl w:val="false"/>
      <w:pBdr/>
      <w:spacing/>
      <w:ind/>
    </w:pPr>
    <w:rPr>
      <w:rFonts w:ascii="Arial" w:hAnsi="Arial" w:cs="Arial"/>
      <w:b/>
      <w:bCs/>
      <w:sz w:val="16"/>
      <w:szCs w:val="16"/>
      <w:lang w:eastAsia="ru-RU"/>
    </w:rPr>
  </w:style>
  <w:style w:type="paragraph" w:styleId="908">
    <w:name w:val="Body Text Indent 2"/>
    <w:basedOn w:val="707"/>
    <w:link w:val="909"/>
    <w:uiPriority w:val="99"/>
    <w:pPr>
      <w:widowControl w:val="true"/>
      <w:pBdr/>
      <w:spacing w:after="120" w:line="480" w:lineRule="auto"/>
      <w:ind w:firstLine="0" w:left="283"/>
      <w:jc w:val="left"/>
    </w:pPr>
    <w:rPr>
      <w:rFonts w:ascii="Times New Roman" w:hAnsi="Times New Roman" w:cs="Times New Roman"/>
      <w:lang w:val="en-US" w:eastAsia="en-US"/>
    </w:rPr>
  </w:style>
  <w:style w:type="character" w:styleId="909" w:customStyle="1">
    <w:name w:val="Основной текст с отступом 2 Знак"/>
    <w:link w:val="908"/>
    <w:uiPriority w:val="99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paragraph" w:styleId="910" w:customStyle="1">
    <w:name w:val="Знак Знак Знак1 Знак"/>
    <w:basedOn w:val="707"/>
    <w:pPr>
      <w:widowControl w:val="true"/>
      <w:pBdr/>
      <w:spacing w:after="100" w:afterAutospacing="1" w:before="100" w:beforeAutospacing="1"/>
      <w:ind w:firstLine="0"/>
    </w:pPr>
    <w:rPr>
      <w:rFonts w:ascii="Tahoma" w:hAnsi="Tahoma" w:cs="Times New Roman"/>
      <w:sz w:val="20"/>
      <w:szCs w:val="20"/>
      <w:lang w:val="en-US" w:eastAsia="en-US"/>
    </w:rPr>
  </w:style>
  <w:style w:type="paragraph" w:styleId="911">
    <w:name w:val="Body Text 2"/>
    <w:basedOn w:val="707"/>
    <w:link w:val="912"/>
    <w:uiPriority w:val="99"/>
    <w:semiHidden/>
    <w:unhideWhenUsed/>
    <w:pPr>
      <w:pBdr/>
      <w:spacing w:after="120" w:line="480" w:lineRule="auto"/>
      <w:ind/>
    </w:pPr>
    <w:rPr>
      <w:rFonts w:cs="Times New Roman"/>
      <w:lang w:val="en-US" w:eastAsia="en-US"/>
    </w:rPr>
  </w:style>
  <w:style w:type="character" w:styleId="912" w:customStyle="1">
    <w:name w:val="Основной текст 2 Знак"/>
    <w:link w:val="911"/>
    <w:uiPriority w:val="99"/>
    <w:semiHidden/>
    <w:pPr>
      <w:pBdr/>
      <w:spacing/>
      <w:ind/>
    </w:pPr>
    <w:rPr>
      <w:rFonts w:ascii="Arial" w:hAnsi="Arial" w:cs="Arial"/>
      <w:sz w:val="24"/>
      <w:szCs w:val="24"/>
    </w:rPr>
  </w:style>
  <w:style w:type="paragraph" w:styleId="913" w:customStyle="1">
    <w:name w:val="ConsPlusNormal"/>
    <w:pPr>
      <w:widowControl w:val="false"/>
      <w:pBdr/>
      <w:spacing/>
      <w:ind/>
    </w:pPr>
    <w:rPr>
      <w:rFonts w:cs="Calibri"/>
      <w:sz w:val="22"/>
      <w:lang w:eastAsia="ru-RU"/>
    </w:rPr>
  </w:style>
  <w:style w:type="paragraph" w:styleId="914" w:customStyle="1">
    <w:name w:val="Знак Знак Знак1 Знак1"/>
    <w:basedOn w:val="707"/>
    <w:pPr>
      <w:widowControl w:val="true"/>
      <w:pBdr/>
      <w:spacing w:after="100" w:afterAutospacing="1" w:before="100" w:beforeAutospacing="1"/>
      <w:ind w:firstLine="0"/>
    </w:pPr>
    <w:rPr>
      <w:rFonts w:ascii="Tahoma" w:hAnsi="Tahoma" w:cs="Times New Roman"/>
      <w:sz w:val="20"/>
      <w:szCs w:val="20"/>
      <w:lang w:val="en-US" w:eastAsia="en-US"/>
    </w:rPr>
  </w:style>
  <w:style w:type="paragraph" w:styleId="915" w:customStyle="1">
    <w:name w:val="Сноска"/>
    <w:basedOn w:val="707"/>
    <w:next w:val="707"/>
    <w:uiPriority w:val="99"/>
    <w:pPr>
      <w:pBdr/>
      <w:spacing/>
      <w:ind/>
    </w:pPr>
    <w:rPr>
      <w:rFonts w:ascii="Times New Roman CYR" w:hAnsi="Times New Roman CYR" w:cs="Times New Roman CYR"/>
      <w:sz w:val="20"/>
      <w:szCs w:val="20"/>
    </w:rPr>
  </w:style>
  <w:style w:type="paragraph" w:styleId="916">
    <w:name w:val="Balloon Text"/>
    <w:basedOn w:val="707"/>
    <w:link w:val="917"/>
    <w:uiPriority w:val="99"/>
    <w:pPr>
      <w:pBdr/>
      <w:spacing/>
      <w:ind/>
    </w:pPr>
    <w:rPr>
      <w:rFonts w:ascii="Segoe UI" w:hAnsi="Segoe UI" w:cs="Times New Roman"/>
      <w:sz w:val="18"/>
      <w:szCs w:val="18"/>
      <w:lang w:val="en-US" w:eastAsia="en-US"/>
    </w:rPr>
  </w:style>
  <w:style w:type="character" w:styleId="917" w:customStyle="1">
    <w:name w:val="Текст выноски Знак"/>
    <w:link w:val="916"/>
    <w:uiPriority w:val="99"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18" w:customStyle="1">
    <w:name w:val="ConsNormal"/>
    <w:qFormat/>
    <w:pPr>
      <w:widowControl w:val="false"/>
      <w:pBdr/>
      <w:spacing/>
      <w:ind w:right="19772" w:firstLine="720"/>
    </w:pPr>
    <w:rPr>
      <w:rFonts w:ascii="Arial" w:hAnsi="Arial" w:cs="Arial"/>
      <w:lang w:eastAsia="ru-RU"/>
    </w:rPr>
  </w:style>
  <w:style w:type="paragraph" w:styleId="919">
    <w:name w:val="Plain Text"/>
    <w:basedOn w:val="707"/>
    <w:link w:val="920"/>
    <w:uiPriority w:val="99"/>
    <w:unhideWhenUsed/>
    <w:pPr>
      <w:widowControl w:val="true"/>
      <w:pBdr/>
      <w:spacing/>
      <w:ind w:firstLine="0"/>
      <w:jc w:val="left"/>
    </w:pPr>
    <w:rPr>
      <w:rFonts w:ascii="Consolas" w:hAnsi="Consolas" w:eastAsia="Calibri" w:cs="Times New Roman"/>
      <w:sz w:val="21"/>
      <w:szCs w:val="21"/>
      <w:lang w:eastAsia="en-US"/>
    </w:rPr>
  </w:style>
  <w:style w:type="character" w:styleId="920" w:customStyle="1">
    <w:name w:val="Текст Знак"/>
    <w:basedOn w:val="709"/>
    <w:link w:val="919"/>
    <w:uiPriority w:val="99"/>
    <w:pPr>
      <w:pBdr/>
      <w:spacing/>
      <w:ind/>
    </w:pPr>
    <w:rPr>
      <w:rFonts w:ascii="Consolas" w:hAnsi="Consolas" w:eastAsia="Calibri" w:cs="Times New Roman"/>
      <w:sz w:val="21"/>
      <w:szCs w:val="21"/>
      <w:lang w:eastAsia="en-US"/>
    </w:rPr>
  </w:style>
  <w:style w:type="paragraph" w:styleId="921">
    <w:name w:val="Header"/>
    <w:basedOn w:val="707"/>
    <w:link w:val="922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2" w:customStyle="1">
    <w:name w:val="Верхний колонтитул Знак"/>
    <w:basedOn w:val="709"/>
    <w:link w:val="921"/>
    <w:uiPriority w:val="99"/>
    <w:pPr>
      <w:pBdr/>
      <w:spacing/>
      <w:ind/>
    </w:pPr>
    <w:rPr>
      <w:rFonts w:ascii="Arial" w:hAnsi="Arial" w:cs="Arial"/>
      <w:sz w:val="24"/>
      <w:szCs w:val="24"/>
    </w:rPr>
  </w:style>
  <w:style w:type="paragraph" w:styleId="923">
    <w:name w:val="Footer"/>
    <w:basedOn w:val="707"/>
    <w:link w:val="924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4" w:customStyle="1">
    <w:name w:val="Нижний колонтитул Знак"/>
    <w:basedOn w:val="709"/>
    <w:link w:val="923"/>
    <w:uiPriority w:val="99"/>
    <w:pPr>
      <w:pBdr/>
      <w:spacing/>
      <w:ind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НПП "Гарант-Сервис"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revision>126</cp:revision>
  <dcterms:created xsi:type="dcterms:W3CDTF">2020-04-03T08:20:00Z</dcterms:created>
  <dcterms:modified xsi:type="dcterms:W3CDTF">2026-04-29T11:50:25Z</dcterms:modified>
  <cp:version>786432</cp:version>
</cp:coreProperties>
</file>