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1" w:rsidRDefault="00857591" w:rsidP="00857591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857591" w:rsidRPr="00A54733" w:rsidRDefault="00857591" w:rsidP="00857591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857591" w:rsidRDefault="00857591" w:rsidP="00857591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857591" w:rsidRDefault="00A6499E" w:rsidP="0085759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326" style="position:absolute;left:0;text-align:left;z-index:251724800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327" style="position:absolute;left:0;text-align:left;z-index:251725824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328" style="position:absolute;left:0;text-align:left;z-index:251726848" from="-24.1pt,5.3pt" to="493.65pt,5.3pt" strokeweight=".11mm">
            <v:stroke joinstyle="miter"/>
          </v:line>
        </w:pict>
      </w:r>
    </w:p>
    <w:p w:rsidR="00857591" w:rsidRPr="00A54733" w:rsidRDefault="00857591" w:rsidP="0085759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857591" w:rsidRPr="006C7F3F" w:rsidRDefault="00E82489" w:rsidP="00857591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857591">
        <w:rPr>
          <w:sz w:val="28"/>
          <w:szCs w:val="28"/>
        </w:rPr>
        <w:t>2016г</w:t>
      </w:r>
      <w:r w:rsidR="00857591" w:rsidRPr="00A54733">
        <w:rPr>
          <w:sz w:val="28"/>
          <w:szCs w:val="28"/>
        </w:rPr>
        <w:tab/>
        <w:t xml:space="preserve">               </w:t>
      </w:r>
      <w:r w:rsidR="00857591">
        <w:rPr>
          <w:sz w:val="28"/>
          <w:szCs w:val="28"/>
        </w:rPr>
        <w:t xml:space="preserve">   </w:t>
      </w:r>
      <w:r w:rsidR="00857591" w:rsidRPr="00A54733">
        <w:rPr>
          <w:sz w:val="28"/>
          <w:szCs w:val="28"/>
        </w:rPr>
        <w:t xml:space="preserve">   г.  Аксай    </w:t>
      </w:r>
      <w:r w:rsidR="00857591" w:rsidRPr="00A54733">
        <w:rPr>
          <w:sz w:val="28"/>
          <w:szCs w:val="28"/>
        </w:rPr>
        <w:tab/>
        <w:t xml:space="preserve">                                 </w:t>
      </w:r>
      <w:r w:rsidR="00857591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B53CA4" w:rsidRPr="00447FAA">
              <w:rPr>
                <w:bCs/>
                <w:sz w:val="28"/>
                <w:szCs w:val="28"/>
              </w:rPr>
              <w:t>Предоставление разрешения на ввод объекта в эксплуатацию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B53CA4" w:rsidRPr="003B0A02" w:rsidRDefault="00B53CA4" w:rsidP="00B53CA4">
      <w:pPr>
        <w:ind w:firstLine="426"/>
        <w:jc w:val="center"/>
        <w:rPr>
          <w:bCs/>
          <w:sz w:val="28"/>
          <w:szCs w:val="28"/>
        </w:rPr>
      </w:pPr>
    </w:p>
    <w:p w:rsidR="00B53CA4" w:rsidRPr="003B0A02" w:rsidRDefault="00F17E79" w:rsidP="00F17E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B53CA4">
      <w:pPr>
        <w:ind w:firstLine="720"/>
        <w:jc w:val="both"/>
        <w:rPr>
          <w:sz w:val="28"/>
          <w:szCs w:val="28"/>
        </w:rPr>
      </w:pPr>
    </w:p>
    <w:p w:rsidR="00B53CA4" w:rsidRPr="003B0A02" w:rsidRDefault="00B53CA4" w:rsidP="00B53CA4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B53CA4">
      <w:pPr>
        <w:ind w:firstLine="426"/>
        <w:jc w:val="both"/>
        <w:rPr>
          <w:bCs/>
          <w:sz w:val="28"/>
          <w:szCs w:val="28"/>
        </w:rPr>
      </w:pP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3B0A02">
        <w:rPr>
          <w:bCs/>
          <w:sz w:val="28"/>
          <w:szCs w:val="28"/>
        </w:rPr>
        <w:t>от 2</w:t>
      </w:r>
      <w:r w:rsidR="00F17E79">
        <w:rPr>
          <w:bCs/>
          <w:sz w:val="28"/>
          <w:szCs w:val="28"/>
        </w:rPr>
        <w:t>3</w:t>
      </w:r>
      <w:r w:rsidRPr="003B0A02">
        <w:rPr>
          <w:bCs/>
          <w:sz w:val="28"/>
          <w:szCs w:val="28"/>
        </w:rPr>
        <w:t>.0</w:t>
      </w:r>
      <w:r w:rsidR="00F17E79">
        <w:rPr>
          <w:bCs/>
          <w:sz w:val="28"/>
          <w:szCs w:val="28"/>
        </w:rPr>
        <w:t>6.2015</w:t>
      </w:r>
      <w:r w:rsidRPr="003B0A02">
        <w:rPr>
          <w:bCs/>
          <w:sz w:val="28"/>
          <w:szCs w:val="28"/>
        </w:rPr>
        <w:t xml:space="preserve"> № </w:t>
      </w:r>
      <w:r w:rsidR="00F17E79">
        <w:rPr>
          <w:sz w:val="28"/>
          <w:szCs w:val="28"/>
        </w:rPr>
        <w:t>473</w:t>
      </w:r>
      <w:r w:rsidRPr="003B0A02">
        <w:rPr>
          <w:bCs/>
          <w:sz w:val="28"/>
          <w:szCs w:val="28"/>
        </w:rPr>
        <w:t xml:space="preserve"> </w:t>
      </w:r>
      <w:r w:rsidRPr="003B0A02">
        <w:rPr>
          <w:sz w:val="28"/>
          <w:szCs w:val="28"/>
        </w:rPr>
        <w:t>«</w:t>
      </w:r>
      <w:r w:rsidR="00F17E79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  <w:r w:rsidRPr="003B0A02">
        <w:rPr>
          <w:spacing w:val="-2"/>
          <w:sz w:val="28"/>
          <w:szCs w:val="28"/>
        </w:rPr>
        <w:t xml:space="preserve"> </w:t>
      </w:r>
      <w:r w:rsidRPr="003B0A02">
        <w:rPr>
          <w:sz w:val="28"/>
          <w:szCs w:val="28"/>
        </w:rPr>
        <w:t>признать утратившим силу.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3B0A02">
        <w:rPr>
          <w:sz w:val="28"/>
          <w:szCs w:val="28"/>
        </w:rPr>
        <w:t>Аксайские</w:t>
      </w:r>
      <w:proofErr w:type="spellEnd"/>
      <w:r w:rsidRPr="003B0A02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r w:rsidR="0009767D">
        <w:rPr>
          <w:sz w:val="28"/>
          <w:szCs w:val="28"/>
        </w:rPr>
        <w:t xml:space="preserve">в сети Интернет. 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4E1B13" w:rsidRPr="003B0A02" w:rsidRDefault="004E1B13" w:rsidP="004E1B13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B53CA4" w:rsidRDefault="00B53CA4" w:rsidP="00B53CA4">
      <w:pPr>
        <w:rPr>
          <w:sz w:val="28"/>
          <w:szCs w:val="28"/>
        </w:rPr>
      </w:pPr>
    </w:p>
    <w:p w:rsidR="004E1B13" w:rsidRPr="003B0A02" w:rsidRDefault="004E1B13" w:rsidP="00B53CA4">
      <w:pPr>
        <w:rPr>
          <w:sz w:val="28"/>
          <w:szCs w:val="28"/>
        </w:rPr>
      </w:pPr>
    </w:p>
    <w:p w:rsidR="00857591" w:rsidRDefault="00857591" w:rsidP="00B5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53CA4" w:rsidRPr="00857591">
        <w:rPr>
          <w:sz w:val="28"/>
          <w:szCs w:val="28"/>
        </w:rPr>
        <w:t xml:space="preserve">Глава </w:t>
      </w:r>
    </w:p>
    <w:p w:rsidR="00B53CA4" w:rsidRPr="00857591" w:rsidRDefault="00B53CA4" w:rsidP="00B53CA4">
      <w:pPr>
        <w:rPr>
          <w:sz w:val="28"/>
          <w:szCs w:val="28"/>
        </w:rPr>
      </w:pPr>
      <w:r w:rsidRPr="00857591">
        <w:rPr>
          <w:sz w:val="28"/>
          <w:szCs w:val="28"/>
        </w:rPr>
        <w:t>Аксайского</w:t>
      </w:r>
      <w:r w:rsidR="00857591">
        <w:rPr>
          <w:sz w:val="28"/>
          <w:szCs w:val="28"/>
        </w:rPr>
        <w:t xml:space="preserve"> </w:t>
      </w:r>
      <w:r w:rsidRPr="00857591">
        <w:rPr>
          <w:sz w:val="28"/>
          <w:szCs w:val="28"/>
        </w:rPr>
        <w:t xml:space="preserve">городского поселения       </w:t>
      </w:r>
      <w:r w:rsidR="00857591">
        <w:rPr>
          <w:sz w:val="28"/>
          <w:szCs w:val="28"/>
        </w:rPr>
        <w:t xml:space="preserve">                           </w:t>
      </w:r>
      <w:r w:rsidR="00F17E79" w:rsidRPr="00857591">
        <w:rPr>
          <w:sz w:val="28"/>
          <w:szCs w:val="28"/>
        </w:rPr>
        <w:t xml:space="preserve">                     А.</w:t>
      </w:r>
      <w:r w:rsidRPr="00857591">
        <w:rPr>
          <w:sz w:val="28"/>
          <w:szCs w:val="28"/>
        </w:rPr>
        <w:t>В. Головин</w:t>
      </w:r>
    </w:p>
    <w:p w:rsidR="00B53CA4" w:rsidRPr="003B0A02" w:rsidRDefault="00B53CA4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Проект постановления вносит сектор</w:t>
      </w:r>
    </w:p>
    <w:p w:rsidR="00C84911" w:rsidRPr="00857591" w:rsidRDefault="00B53CA4" w:rsidP="00857591">
      <w:r w:rsidRPr="003B0A02">
        <w:t>архитектуры и градостроительства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72EA0" w:rsidRPr="00872EA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872EA0" w:rsidRPr="00872EA0">
        <w:rPr>
          <w:bCs/>
          <w:sz w:val="28"/>
          <w:szCs w:val="28"/>
        </w:rPr>
        <w:t>Предоставление разрешения на ввод объекта в эксплуатацию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872EA0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872EA0">
        <w:rPr>
          <w:kern w:val="36"/>
          <w:sz w:val="28"/>
          <w:szCs w:val="28"/>
        </w:rPr>
        <w:t xml:space="preserve">в приложении №1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872EA0">
        <w:rPr>
          <w:kern w:val="36"/>
          <w:sz w:val="28"/>
          <w:szCs w:val="28"/>
        </w:rPr>
        <w:t>настоящему регламенту</w:t>
      </w:r>
      <w:r w:rsidRPr="00F03C45">
        <w:rPr>
          <w:kern w:val="36"/>
          <w:sz w:val="28"/>
          <w:szCs w:val="28"/>
        </w:rPr>
        <w:t xml:space="preserve">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lastRenderedPageBreak/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72EA0" w:rsidRPr="00872EA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ввод объекта в эксплуатацию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A00463">
        <w:rPr>
          <w:sz w:val="28"/>
          <w:szCs w:val="28"/>
        </w:rPr>
        <w:t>р</w:t>
      </w:r>
      <w:r w:rsidR="00A00463" w:rsidRPr="00A00463">
        <w:rPr>
          <w:sz w:val="28"/>
          <w:szCs w:val="28"/>
        </w:rPr>
        <w:t>азрешение на ввод в эксплуатацию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846251" w:rsidRPr="00676951">
        <w:rPr>
          <w:sz w:val="28"/>
          <w:szCs w:val="28"/>
        </w:rPr>
        <w:t xml:space="preserve">Оформление </w:t>
      </w:r>
      <w:r w:rsidR="00846251">
        <w:rPr>
          <w:sz w:val="28"/>
          <w:szCs w:val="28"/>
        </w:rPr>
        <w:t>разрешения на ввод объекта в эксплуатацию</w:t>
      </w:r>
      <w:r w:rsidR="00846251" w:rsidRPr="00676951">
        <w:rPr>
          <w:sz w:val="28"/>
          <w:szCs w:val="28"/>
        </w:rPr>
        <w:t xml:space="preserve"> производится в течение </w:t>
      </w:r>
      <w:r w:rsidR="00846251">
        <w:rPr>
          <w:sz w:val="28"/>
          <w:szCs w:val="28"/>
        </w:rPr>
        <w:t>1</w:t>
      </w:r>
      <w:r w:rsidR="00846251" w:rsidRPr="00676951">
        <w:rPr>
          <w:sz w:val="28"/>
          <w:szCs w:val="28"/>
        </w:rPr>
        <w:t>0 календарных дней с момента подачи заявления.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</w:t>
      </w:r>
      <w:r w:rsidR="003B7D66" w:rsidRPr="00846251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846251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Образец заявления о предоставлении услуги представлен в приложении 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846251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 xml:space="preserve">в соответствии с перечнем, </w:t>
      </w:r>
      <w:r w:rsidR="008C349B">
        <w:rPr>
          <w:rFonts w:ascii="Times New Roman" w:hAnsi="Times New Roman" w:cs="Times New Roman"/>
          <w:sz w:val="28"/>
          <w:szCs w:val="28"/>
        </w:rPr>
        <w:lastRenderedPageBreak/>
        <w:t>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846251">
        <w:rPr>
          <w:rFonts w:ascii="Times New Roman" w:hAnsi="Times New Roman" w:cs="Times New Roman"/>
          <w:sz w:val="28"/>
          <w:szCs w:val="28"/>
        </w:rPr>
        <w:t>приложением №3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контроль за исполнением муниципальной функции.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</w:t>
      </w:r>
      <w:r w:rsidRPr="00846251">
        <w:rPr>
          <w:sz w:val="28"/>
          <w:szCs w:val="28"/>
        </w:rPr>
        <w:t xml:space="preserve">приложению № </w:t>
      </w:r>
      <w:r w:rsidR="00846251" w:rsidRPr="00846251">
        <w:rPr>
          <w:sz w:val="28"/>
          <w:szCs w:val="28"/>
        </w:rPr>
        <w:t>4</w:t>
      </w:r>
      <w:r w:rsidRPr="00846251">
        <w:rPr>
          <w:sz w:val="28"/>
          <w:szCs w:val="28"/>
        </w:rPr>
        <w:t xml:space="preserve"> и комплектом документов, указанных в приложении № </w:t>
      </w:r>
      <w:r w:rsidR="00846251" w:rsidRPr="00846251">
        <w:rPr>
          <w:sz w:val="28"/>
          <w:szCs w:val="28"/>
        </w:rPr>
        <w:t>3</w:t>
      </w:r>
      <w:r w:rsidRPr="00846251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846251" w:rsidRPr="00846251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документов </w:t>
      </w:r>
      <w:r w:rsidRPr="00846251">
        <w:rPr>
          <w:sz w:val="28"/>
          <w:szCs w:val="28"/>
        </w:rPr>
        <w:t xml:space="preserve">приложению № </w:t>
      </w:r>
      <w:r w:rsidR="00846251" w:rsidRPr="00846251">
        <w:rPr>
          <w:sz w:val="28"/>
          <w:szCs w:val="28"/>
        </w:rPr>
        <w:t>3</w:t>
      </w:r>
      <w:r w:rsidRPr="00846251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- подготовки разрешения на ввод объектов в эксплуатацию;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- выдачи разрешения на ввод объектов в эксплуатацию при осуществлении строительства (реконструкции).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Pr="00846251">
        <w:rPr>
          <w:bCs/>
          <w:sz w:val="28"/>
          <w:szCs w:val="28"/>
        </w:rPr>
        <w:t>предоставляет разрешения на ввод объекта в эксплуатацию</w:t>
      </w:r>
      <w:r w:rsidRPr="008462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В случае отказа в предоставлении муниципальной услуги «</w:t>
      </w:r>
      <w:r w:rsidRPr="00846251">
        <w:rPr>
          <w:bCs/>
          <w:sz w:val="28"/>
          <w:szCs w:val="28"/>
        </w:rPr>
        <w:t>Предоставление разрешения на ввод объекта в эксплуатацию</w:t>
      </w:r>
      <w:r w:rsidRPr="00846251">
        <w:rPr>
          <w:sz w:val="28"/>
          <w:szCs w:val="28"/>
        </w:rPr>
        <w:t>»</w:t>
      </w:r>
      <w:r w:rsidRPr="003B0A02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Pr="00846251">
        <w:rPr>
          <w:bCs/>
          <w:sz w:val="28"/>
          <w:szCs w:val="28"/>
        </w:rPr>
        <w:t>предоставление разрешения на ввод объекта в эксплуатацию</w:t>
      </w:r>
      <w:r w:rsidRPr="00846251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 xml:space="preserve">Блок-схема предоставления муниципальной услуги </w:t>
      </w:r>
      <w:r w:rsidR="005D4437" w:rsidRPr="00846251">
        <w:rPr>
          <w:sz w:val="28"/>
          <w:szCs w:val="28"/>
        </w:rPr>
        <w:t>«</w:t>
      </w:r>
      <w:r w:rsidR="005D4437" w:rsidRPr="00846251">
        <w:rPr>
          <w:bCs/>
          <w:sz w:val="28"/>
          <w:szCs w:val="28"/>
        </w:rPr>
        <w:t>Предоставление разрешения на ввод объекта в эксплуатацию</w:t>
      </w:r>
      <w:r w:rsidR="005D4437" w:rsidRPr="00846251">
        <w:rPr>
          <w:sz w:val="28"/>
          <w:szCs w:val="28"/>
        </w:rPr>
        <w:t xml:space="preserve">» указана в </w:t>
      </w:r>
      <w:r w:rsidR="00846251">
        <w:rPr>
          <w:sz w:val="28"/>
          <w:szCs w:val="28"/>
        </w:rPr>
        <w:t>приложении № 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846251" w:rsidRDefault="000140EB" w:rsidP="00846251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46251" w:rsidRPr="00447FAA">
        <w:rPr>
          <w:bCs/>
          <w:sz w:val="28"/>
          <w:szCs w:val="28"/>
        </w:rPr>
        <w:t>Предоставление разрешения на ввод</w:t>
      </w:r>
    </w:p>
    <w:p w:rsidR="000140EB" w:rsidRDefault="00846251" w:rsidP="00846251">
      <w:pPr>
        <w:jc w:val="right"/>
        <w:rPr>
          <w:kern w:val="36"/>
          <w:sz w:val="28"/>
          <w:szCs w:val="28"/>
        </w:rPr>
      </w:pPr>
      <w:r w:rsidRPr="00447FAA">
        <w:rPr>
          <w:bCs/>
          <w:sz w:val="28"/>
          <w:szCs w:val="28"/>
        </w:rPr>
        <w:t xml:space="preserve"> объекта в эксплуатацию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385AC6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A6499E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A6499E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846251" w:rsidRDefault="00B53CA4" w:rsidP="00846251">
      <w:pPr>
        <w:tabs>
          <w:tab w:val="left" w:pos="4380"/>
          <w:tab w:val="right" w:pos="10205"/>
        </w:tabs>
        <w:jc w:val="right"/>
        <w:rPr>
          <w:bCs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846251" w:rsidRPr="00447FAA">
        <w:rPr>
          <w:bCs/>
          <w:sz w:val="28"/>
          <w:szCs w:val="28"/>
        </w:rPr>
        <w:t xml:space="preserve">Предоставление разрешения на ввод </w:t>
      </w:r>
    </w:p>
    <w:p w:rsidR="00B53CA4" w:rsidRPr="00493526" w:rsidRDefault="00846251" w:rsidP="00846251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47FAA">
        <w:rPr>
          <w:bCs/>
          <w:sz w:val="28"/>
          <w:szCs w:val="28"/>
        </w:rPr>
        <w:t>объекта в эксплуатацию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F17E79" w:rsidRPr="00B53CA4" w:rsidRDefault="00B53CA4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</w:t>
      </w:r>
      <w:r w:rsidR="00F17E79" w:rsidRPr="00B53CA4">
        <w:rPr>
          <w:bCs/>
          <w:color w:val="auto"/>
          <w:sz w:val="28"/>
          <w:szCs w:val="28"/>
        </w:rPr>
        <w:t xml:space="preserve">Градостроительный кодекс РФ от 29.12.2004 № 190-ФЗ (ч. 9 ст. 55); </w:t>
      </w:r>
    </w:p>
    <w:p w:rsidR="00F17E79" w:rsidRPr="00B53CA4" w:rsidRDefault="00F17E79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B53CA4">
        <w:rPr>
          <w:bCs/>
          <w:color w:val="auto"/>
          <w:sz w:val="28"/>
          <w:szCs w:val="28"/>
        </w:rPr>
        <w:t xml:space="preserve">Федеральный закон от 29.12.2004 № 191-ФЗ «О введении в действие Градостроительного кодекса РФ»; </w:t>
      </w:r>
    </w:p>
    <w:p w:rsidR="00F17E79" w:rsidRPr="00B53CA4" w:rsidRDefault="00F17E79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B53CA4">
        <w:rPr>
          <w:bCs/>
          <w:color w:val="auto"/>
          <w:sz w:val="28"/>
          <w:szCs w:val="28"/>
        </w:rPr>
        <w:t xml:space="preserve">Федеральный закон от 21.07.1997 № 122-ФЗ «О государственной регистрации прав на недвижимое имущество и сделок с ним»; </w:t>
      </w:r>
    </w:p>
    <w:p w:rsidR="00F17E79" w:rsidRPr="00B53CA4" w:rsidRDefault="00F17E79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B53CA4">
        <w:rPr>
          <w:bCs/>
          <w:color w:val="auto"/>
          <w:sz w:val="28"/>
          <w:szCs w:val="28"/>
        </w:rPr>
        <w:t>Приказ Министерства строительства и жилищно-коммунального хозяйства РФ от 19.02.2015 № 117/</w:t>
      </w:r>
      <w:proofErr w:type="spellStart"/>
      <w:r w:rsidRPr="00B53CA4">
        <w:rPr>
          <w:bCs/>
          <w:color w:val="auto"/>
          <w:sz w:val="28"/>
          <w:szCs w:val="28"/>
        </w:rPr>
        <w:t>пр</w:t>
      </w:r>
      <w:proofErr w:type="spellEnd"/>
      <w:r w:rsidRPr="00B53CA4">
        <w:rPr>
          <w:bCs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B53CA4" w:rsidRPr="00715B38" w:rsidRDefault="00B53CA4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846251" w:rsidRDefault="00846251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="00846251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846251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bookmarkStart w:id="3" w:name="sub_55031"/>
      <w:r w:rsidRPr="003B0A02">
        <w:rPr>
          <w:sz w:val="28"/>
          <w:szCs w:val="28"/>
        </w:rPr>
        <w:t xml:space="preserve">1. Заявление о </w:t>
      </w:r>
      <w:r>
        <w:rPr>
          <w:bCs/>
          <w:sz w:val="28"/>
          <w:szCs w:val="28"/>
        </w:rPr>
        <w:t>п</w:t>
      </w:r>
      <w:r w:rsidRPr="00447FAA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447FAA">
        <w:rPr>
          <w:bCs/>
          <w:sz w:val="28"/>
          <w:szCs w:val="28"/>
        </w:rPr>
        <w:t xml:space="preserve"> разрешения на ввод объекта в эксплуатацию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 Правоустанавливающие документы на земельный участок: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2.1. Свидетельство о праве собственности на землю 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2.3. Договор на передачу земельного участка в постоянное (бессрочное) пользование</w:t>
      </w:r>
      <w:r w:rsidRPr="003B0A02">
        <w:rPr>
          <w:sz w:val="28"/>
          <w:szCs w:val="28"/>
        </w:rPr>
        <w:tab/>
        <w:t>2.4. Свидетельство о пожизненном наследуемом владении земельным участком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2.5 Свидетельство о праве бессрочного (постоянного) пользования землей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2.6 Договор аренды земельного участка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2.7. Договор купли-продажи</w:t>
      </w:r>
      <w:r w:rsidRPr="003B0A02">
        <w:rPr>
          <w:sz w:val="28"/>
          <w:szCs w:val="28"/>
        </w:rPr>
        <w:tab/>
      </w:r>
    </w:p>
    <w:p w:rsidR="007D688B" w:rsidRDefault="007D688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2.8. Договор мены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2.9. Договор дарения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2.10. Договор о переуступке прав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2.11. Типовой договор о предоставлении в бессрочное пользование земельного участка под строительство индивидуального жилого дома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2.12. Решение суда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</w:r>
      <w:r w:rsidRPr="003B0A02">
        <w:rPr>
          <w:i/>
          <w:sz w:val="28"/>
          <w:szCs w:val="28"/>
        </w:rPr>
        <w:t xml:space="preserve"> 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4. Разрешение на строительство</w:t>
      </w:r>
      <w:r w:rsidRPr="003B0A02">
        <w:rPr>
          <w:i/>
          <w:sz w:val="28"/>
          <w:szCs w:val="28"/>
        </w:rPr>
        <w:t xml:space="preserve"> 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5. Акт приемки объекта капитального строительства (в случае осуществления строительства, реконструкции на основании договора) </w:t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6.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6.1. Справка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6.3. Акт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7.1. Справка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7.3. Акт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8.1. Заключение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8.2. Справка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9.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i/>
          <w:sz w:val="28"/>
          <w:szCs w:val="28"/>
        </w:rPr>
      </w:pPr>
      <w:r w:rsidRPr="003B0A02">
        <w:rPr>
          <w:sz w:val="28"/>
          <w:szCs w:val="28"/>
        </w:rPr>
        <w:t xml:space="preserve">11.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12.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(Полис страхования гражданской ответственности опасных объектов)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13. Технический план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4A522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14. </w:t>
      </w:r>
      <w:r w:rsidR="004A5222" w:rsidRPr="004A5222">
        <w:rPr>
          <w:sz w:val="28"/>
          <w:szCs w:val="28"/>
        </w:rPr>
        <w:t>Акт приемки выполненных работ по сохранению объекта культурного наследия,</w:t>
      </w:r>
      <w:r w:rsidR="004A5222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утвержденный</w:t>
      </w:r>
      <w:r w:rsidR="004A5222" w:rsidRPr="003B0A02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 (при проведении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 xml:space="preserve">реставрации, консервации, ремонта  этого  объекта и его </w:t>
      </w:r>
      <w:r w:rsidR="00483E29">
        <w:rPr>
          <w:sz w:val="28"/>
          <w:szCs w:val="28"/>
        </w:rPr>
        <w:t xml:space="preserve">приспособления для современного </w:t>
      </w:r>
      <w:r w:rsidR="004A5222" w:rsidRPr="004A5222">
        <w:rPr>
          <w:sz w:val="28"/>
          <w:szCs w:val="28"/>
        </w:rPr>
        <w:t>использования) (выданный министерством культуры Ростовской области на объекты федерального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значения,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за исключением отдельных объектов культурного наследия, перечень которых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устанавливается Правительством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Российской Федерации, регионального значения, выявленные объекты культурного наследия, расположенные на территории Ростовской области</w:t>
      </w:r>
      <w:r w:rsidR="004A5222" w:rsidRPr="000E523F">
        <w:rPr>
          <w:i/>
          <w:sz w:val="16"/>
          <w:szCs w:val="16"/>
        </w:rPr>
        <w:t>)</w:t>
      </w:r>
    </w:p>
    <w:bookmarkEnd w:id="3"/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C248FD" w:rsidRPr="002B239F" w:rsidRDefault="00A6499E" w:rsidP="00C248FD">
      <w:pPr>
        <w:spacing w:line="276" w:lineRule="auto"/>
        <w:ind w:left="-709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2" style="position:absolute;left:0;text-align:left;z-index:251699200" from="-36pt,.55pt" to="468pt,.55pt"/>
        </w:pict>
      </w:r>
      <w:r w:rsidR="00C248FD" w:rsidRPr="002B239F">
        <w:rPr>
          <w:sz w:val="22"/>
          <w:szCs w:val="22"/>
        </w:rPr>
        <w:t xml:space="preserve">( наименование уполномоченного федерального органа исполнительной власти, орган исполнительной власти,            </w:t>
      </w:r>
    </w:p>
    <w:p w:rsidR="00C248FD" w:rsidRPr="002B239F" w:rsidRDefault="00C248FD" w:rsidP="00C248FD">
      <w:pPr>
        <w:spacing w:line="276" w:lineRule="auto"/>
        <w:ind w:left="-720"/>
        <w:jc w:val="center"/>
        <w:rPr>
          <w:sz w:val="22"/>
          <w:szCs w:val="22"/>
        </w:rPr>
      </w:pPr>
    </w:p>
    <w:p w:rsidR="00C248FD" w:rsidRPr="002B239F" w:rsidRDefault="00A6499E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3" style="position:absolute;z-index:251700224" from="-36pt,.6pt" to="468pt,.6pt"/>
        </w:pict>
      </w:r>
      <w:r w:rsidR="00C248FD" w:rsidRPr="002B239F">
        <w:rPr>
          <w:sz w:val="22"/>
          <w:szCs w:val="22"/>
        </w:rPr>
        <w:t xml:space="preserve">                                                                    орган местного самоуправления)</w:t>
      </w:r>
    </w:p>
    <w:p w:rsidR="00C248FD" w:rsidRPr="002B239F" w:rsidRDefault="00A6499E" w:rsidP="00C248FD">
      <w:pPr>
        <w:spacing w:line="276" w:lineRule="auto"/>
        <w:jc w:val="center"/>
        <w:rPr>
          <w:b/>
          <w:i/>
          <w:sz w:val="22"/>
          <w:szCs w:val="22"/>
        </w:rPr>
      </w:pPr>
      <w:r w:rsidRPr="00A6499E">
        <w:rPr>
          <w:b/>
          <w:noProof/>
          <w:sz w:val="22"/>
          <w:szCs w:val="22"/>
          <w:lang w:eastAsia="ar-SA"/>
        </w:rPr>
        <w:pict>
          <v:line id="_x0000_s1304" style="position:absolute;left:0;text-align:left;z-index:251701248" from="-33.75pt,12.4pt" to="470.25pt,12.4pt"/>
        </w:pict>
      </w:r>
      <w:r w:rsidR="00C248FD" w:rsidRPr="002B239F">
        <w:rPr>
          <w:b/>
          <w:i/>
          <w:noProof/>
          <w:sz w:val="22"/>
          <w:szCs w:val="22"/>
        </w:rPr>
        <w:t xml:space="preserve"> 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( наименование организации застройщика, почтовые реквизиты)</w:t>
      </w:r>
    </w:p>
    <w:p w:rsidR="00C248FD" w:rsidRPr="002B239F" w:rsidRDefault="00A6499E" w:rsidP="00C248FD">
      <w:pPr>
        <w:tabs>
          <w:tab w:val="left" w:pos="2040"/>
        </w:tabs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ar-SA"/>
        </w:rPr>
        <w:pict>
          <v:line id="_x0000_s1305" style="position:absolute;left:0;text-align:left;z-index:251702272" from="-33pt,11.75pt" to="471pt,11.75pt"/>
        </w:pict>
      </w:r>
      <w:r w:rsidR="00C248FD" w:rsidRPr="002B239F">
        <w:rPr>
          <w:b/>
          <w:i/>
          <w:noProof/>
          <w:sz w:val="22"/>
          <w:szCs w:val="22"/>
        </w:rPr>
        <w:t xml:space="preserve"> </w:t>
      </w:r>
    </w:p>
    <w:p w:rsidR="00C248FD" w:rsidRPr="002B239F" w:rsidRDefault="00C248FD" w:rsidP="00C248FD">
      <w:pPr>
        <w:tabs>
          <w:tab w:val="left" w:pos="2040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ab/>
        <w:t xml:space="preserve">                            телефон/факс:</w:t>
      </w:r>
    </w:p>
    <w:p w:rsidR="00C248FD" w:rsidRPr="002B239F" w:rsidRDefault="00C248FD" w:rsidP="00C248FD">
      <w:pPr>
        <w:spacing w:line="276" w:lineRule="auto"/>
        <w:jc w:val="center"/>
        <w:rPr>
          <w:b/>
          <w:i/>
          <w:sz w:val="22"/>
          <w:szCs w:val="22"/>
        </w:rPr>
      </w:pPr>
    </w:p>
    <w:p w:rsidR="00C248FD" w:rsidRPr="002B239F" w:rsidRDefault="00A6499E" w:rsidP="00C248FD">
      <w:pPr>
        <w:tabs>
          <w:tab w:val="left" w:pos="151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6" style="position:absolute;z-index:251703296" from="-35.25pt,-.35pt" to="468.75pt,-.35pt"/>
        </w:pict>
      </w:r>
      <w:r w:rsidR="00C248FD" w:rsidRPr="002B239F">
        <w:rPr>
          <w:sz w:val="22"/>
          <w:szCs w:val="22"/>
        </w:rPr>
        <w:tab/>
        <w:t>Ф.И.О. гражданина-застройщика, его паспортные данные</w:t>
      </w:r>
    </w:p>
    <w:p w:rsidR="00C248FD" w:rsidRPr="002B239F" w:rsidRDefault="00C248FD" w:rsidP="00C248FD">
      <w:pPr>
        <w:spacing w:line="276" w:lineRule="auto"/>
        <w:jc w:val="center"/>
        <w:rPr>
          <w:i/>
          <w:sz w:val="22"/>
          <w:szCs w:val="22"/>
        </w:rPr>
      </w:pPr>
    </w:p>
    <w:p w:rsidR="00C248FD" w:rsidRPr="002B239F" w:rsidRDefault="00A6499E" w:rsidP="00C248FD">
      <w:pPr>
        <w:tabs>
          <w:tab w:val="left" w:pos="217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7" style="position:absolute;z-index:251704320" from="-36pt,1.5pt" to="468pt,1.5pt"/>
        </w:pict>
      </w:r>
      <w:r w:rsidR="00C248FD" w:rsidRPr="002B239F">
        <w:rPr>
          <w:sz w:val="22"/>
          <w:szCs w:val="22"/>
        </w:rPr>
        <w:tab/>
        <w:t xml:space="preserve">                            телефон/факс)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tabs>
          <w:tab w:val="left" w:pos="1890"/>
        </w:tabs>
        <w:spacing w:line="276" w:lineRule="auto"/>
        <w:rPr>
          <w:b/>
          <w:sz w:val="22"/>
          <w:szCs w:val="22"/>
        </w:rPr>
      </w:pPr>
      <w:r w:rsidRPr="002B239F">
        <w:rPr>
          <w:b/>
          <w:sz w:val="22"/>
          <w:szCs w:val="22"/>
        </w:rPr>
        <w:t xml:space="preserve">                                                      ЗАЯВЛЕНИЕ</w:t>
      </w:r>
    </w:p>
    <w:p w:rsidR="00C248FD" w:rsidRPr="002B239F" w:rsidRDefault="00C248FD" w:rsidP="00C248FD">
      <w:pPr>
        <w:tabs>
          <w:tab w:val="left" w:pos="1890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Прошу  </w:t>
      </w:r>
      <w:r w:rsidRPr="002B239F">
        <w:rPr>
          <w:bCs/>
          <w:sz w:val="22"/>
          <w:szCs w:val="22"/>
        </w:rPr>
        <w:t>предоставить разрешения на ввод объекта в эксплуатацию</w:t>
      </w:r>
    </w:p>
    <w:p w:rsidR="00C248FD" w:rsidRPr="002B239F" w:rsidRDefault="00A6499E" w:rsidP="00C248FD">
      <w:pPr>
        <w:tabs>
          <w:tab w:val="left" w:pos="1890"/>
        </w:tabs>
        <w:spacing w:line="276" w:lineRule="auto"/>
        <w:ind w:left="-720"/>
        <w:rPr>
          <w:b/>
          <w:i/>
          <w:noProof/>
          <w:sz w:val="22"/>
          <w:szCs w:val="22"/>
        </w:rPr>
      </w:pPr>
      <w:r w:rsidRPr="00A6499E">
        <w:rPr>
          <w:b/>
          <w:noProof/>
          <w:sz w:val="22"/>
          <w:szCs w:val="22"/>
          <w:lang w:eastAsia="ar-SA"/>
        </w:rPr>
        <w:pict>
          <v:line id="_x0000_s1308" style="position:absolute;left:0;text-align:left;z-index:251705344" from="-36pt,13pt" to="468pt,13pt"/>
        </w:pict>
      </w:r>
      <w:r w:rsidR="00C248FD" w:rsidRPr="002B239F">
        <w:rPr>
          <w:b/>
          <w:noProof/>
          <w:sz w:val="22"/>
          <w:szCs w:val="22"/>
        </w:rPr>
        <w:t xml:space="preserve"> </w:t>
      </w:r>
    </w:p>
    <w:p w:rsidR="00C248FD" w:rsidRPr="002B239F" w:rsidRDefault="00C248FD" w:rsidP="00C248FD">
      <w:pPr>
        <w:tabs>
          <w:tab w:val="left" w:pos="106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ab/>
        <w:t xml:space="preserve">                       (наименование объекта, функциональное назначение)</w:t>
      </w:r>
    </w:p>
    <w:p w:rsidR="00C248FD" w:rsidRPr="002B239F" w:rsidRDefault="00A6499E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9" style="position:absolute;z-index:251706368" from="-36pt,10.35pt" to="468pt,10.35pt"/>
        </w:pic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rPr>
          <w:b/>
          <w:i/>
          <w:sz w:val="22"/>
          <w:szCs w:val="22"/>
        </w:rPr>
      </w:pPr>
      <w:r w:rsidRPr="002B239F">
        <w:rPr>
          <w:sz w:val="22"/>
          <w:szCs w:val="22"/>
        </w:rPr>
        <w:t xml:space="preserve">расположенного по адресу  </w:t>
      </w:r>
    </w:p>
    <w:p w:rsidR="00C248FD" w:rsidRPr="002B239F" w:rsidRDefault="00A6499E" w:rsidP="00C248FD">
      <w:pPr>
        <w:tabs>
          <w:tab w:val="left" w:pos="289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0" style="position:absolute;z-index:251707392" from="81pt,1.3pt" to="468pt,1.3pt"/>
        </w:pict>
      </w:r>
      <w:r w:rsidR="00C248FD" w:rsidRPr="002B239F">
        <w:rPr>
          <w:sz w:val="22"/>
          <w:szCs w:val="22"/>
        </w:rPr>
        <w:tab/>
        <w:t>(почтовый адрес объекта)</w:t>
      </w:r>
    </w:p>
    <w:p w:rsidR="00C248FD" w:rsidRPr="002B239F" w:rsidRDefault="00C248FD" w:rsidP="00C248FD">
      <w:pPr>
        <w:tabs>
          <w:tab w:val="left" w:pos="289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>При этом сообщаю:</w:t>
      </w:r>
    </w:p>
    <w:p w:rsidR="00C248FD" w:rsidRPr="002B239F" w:rsidRDefault="00C248FD" w:rsidP="00C248FD">
      <w:pPr>
        <w:tabs>
          <w:tab w:val="left" w:pos="289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Сроки строительства, реконструкции, капитального ремонта объекта </w:t>
      </w:r>
    </w:p>
    <w:p w:rsidR="00C248FD" w:rsidRPr="002B239F" w:rsidRDefault="00C248FD" w:rsidP="00C248FD">
      <w:pPr>
        <w:tabs>
          <w:tab w:val="left" w:pos="2895"/>
        </w:tabs>
        <w:spacing w:line="276" w:lineRule="auto"/>
        <w:rPr>
          <w:i/>
          <w:noProof/>
          <w:sz w:val="22"/>
          <w:szCs w:val="22"/>
        </w:rPr>
      </w:pPr>
      <w:r w:rsidRPr="002B239F">
        <w:rPr>
          <w:b/>
          <w:sz w:val="22"/>
          <w:szCs w:val="22"/>
        </w:rPr>
        <w:t xml:space="preserve">                                     </w:t>
      </w:r>
      <w:r w:rsidRPr="002B239F">
        <w:rPr>
          <w:b/>
          <w:i/>
          <w:sz w:val="22"/>
          <w:szCs w:val="22"/>
        </w:rPr>
        <w:t xml:space="preserve">     </w:t>
      </w:r>
      <w:r w:rsidRPr="002B239F">
        <w:rPr>
          <w:i/>
          <w:noProof/>
          <w:sz w:val="22"/>
          <w:szCs w:val="22"/>
        </w:rPr>
        <w:t xml:space="preserve">         </w:t>
      </w:r>
    </w:p>
    <w:p w:rsidR="00C248FD" w:rsidRPr="002B239F" w:rsidRDefault="00A6499E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1" style="position:absolute;z-index:251708416" from="-36pt,.95pt" to="468pt,.95pt"/>
        </w:pict>
      </w:r>
      <w:r w:rsidR="00C248FD" w:rsidRPr="002B239F">
        <w:rPr>
          <w:sz w:val="22"/>
          <w:szCs w:val="22"/>
        </w:rPr>
        <w:t xml:space="preserve">                                          (дата начала и окончания строительства объекта)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>Эксплуатация объекта в соответствии с договором от «___» ___________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rPr>
          <w:b/>
          <w:sz w:val="22"/>
          <w:szCs w:val="22"/>
        </w:rPr>
      </w:pPr>
      <w:r w:rsidRPr="002B239F">
        <w:rPr>
          <w:sz w:val="22"/>
          <w:szCs w:val="22"/>
        </w:rPr>
        <w:t xml:space="preserve">№ </w:t>
      </w:r>
      <w:proofErr w:type="spellStart"/>
      <w:r w:rsidRPr="002B239F">
        <w:rPr>
          <w:sz w:val="22"/>
          <w:szCs w:val="22"/>
        </w:rPr>
        <w:t>____возложена</w:t>
      </w:r>
      <w:proofErr w:type="spellEnd"/>
      <w:r w:rsidRPr="002B239F">
        <w:rPr>
          <w:sz w:val="22"/>
          <w:szCs w:val="22"/>
        </w:rPr>
        <w:t xml:space="preserve"> на  </w:t>
      </w:r>
      <w:r w:rsidRPr="002B239F">
        <w:rPr>
          <w:sz w:val="22"/>
          <w:szCs w:val="22"/>
        </w:rPr>
        <w:tab/>
      </w:r>
      <w:r w:rsidRPr="002B239F">
        <w:rPr>
          <w:sz w:val="22"/>
          <w:szCs w:val="22"/>
        </w:rPr>
        <w:tab/>
      </w:r>
    </w:p>
    <w:p w:rsidR="00C248FD" w:rsidRPr="002B239F" w:rsidRDefault="00A6499E" w:rsidP="00C248FD">
      <w:pPr>
        <w:tabs>
          <w:tab w:val="left" w:pos="160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2" style="position:absolute;z-index:251709440" from="81pt,2.8pt" to="468pt,2.8pt"/>
        </w:pict>
      </w:r>
      <w:r w:rsidR="00C248FD" w:rsidRPr="002B239F">
        <w:rPr>
          <w:sz w:val="22"/>
          <w:szCs w:val="22"/>
        </w:rPr>
        <w:tab/>
      </w:r>
      <w:r w:rsidR="00C248FD" w:rsidRPr="002B239F">
        <w:rPr>
          <w:sz w:val="22"/>
          <w:szCs w:val="22"/>
        </w:rPr>
        <w:tab/>
        <w:t>(наименование и адрес организации)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Работы по озеленению, рекультивации карьеров, разметке проезжей части дорог, устройство верхнего покрытия дорог, тротуаров, хозяйственных, игровых и спортивных площадок, а также отделки элементов фасадов зданий должны быть выполнены ( при переносе сроков выполнения работ):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</w:p>
    <w:tbl>
      <w:tblPr>
        <w:tblW w:w="0" w:type="auto"/>
        <w:tblInd w:w="-612" w:type="dxa"/>
        <w:tblLook w:val="01E0"/>
      </w:tblPr>
      <w:tblGrid>
        <w:gridCol w:w="3004"/>
        <w:gridCol w:w="2393"/>
        <w:gridCol w:w="2393"/>
        <w:gridCol w:w="2393"/>
      </w:tblGrid>
      <w:tr w:rsidR="00C248FD" w:rsidRPr="002B239F" w:rsidTr="007D688B">
        <w:tc>
          <w:tcPr>
            <w:tcW w:w="3004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Работы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Объем работ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Срок выполнения</w:t>
            </w:r>
          </w:p>
        </w:tc>
      </w:tr>
      <w:tr w:rsidR="00C248FD" w:rsidRPr="002B239F" w:rsidTr="007D688B">
        <w:tc>
          <w:tcPr>
            <w:tcW w:w="3004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4</w:t>
            </w:r>
          </w:p>
        </w:tc>
      </w:tr>
      <w:tr w:rsidR="00C248FD" w:rsidRPr="002B239F" w:rsidTr="007D688B">
        <w:tc>
          <w:tcPr>
            <w:tcW w:w="3004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Претензий к заказчику, подрядчику  другим участникам строительства, наладки, пуска и приемки объекта у застройщика нет.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Приложение: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b/>
          <w:sz w:val="22"/>
          <w:szCs w:val="22"/>
          <w:u w:val="single"/>
        </w:rPr>
      </w:pPr>
      <w:r w:rsidRPr="002B239F">
        <w:rPr>
          <w:sz w:val="22"/>
          <w:szCs w:val="22"/>
        </w:rPr>
        <w:t>1.Правоустанавливающий документ на земельный участок на __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b/>
          <w:i/>
          <w:sz w:val="22"/>
          <w:szCs w:val="22"/>
        </w:rPr>
      </w:pPr>
      <w:r w:rsidRPr="002B239F">
        <w:rPr>
          <w:sz w:val="22"/>
          <w:szCs w:val="22"/>
        </w:rPr>
        <w:t xml:space="preserve">листах </w:t>
      </w:r>
      <w:r w:rsidRPr="002B239F">
        <w:rPr>
          <w:b/>
          <w:sz w:val="22"/>
          <w:szCs w:val="22"/>
        </w:rPr>
        <w:t xml:space="preserve"> </w:t>
      </w:r>
    </w:p>
    <w:p w:rsidR="00C248FD" w:rsidRPr="002B239F" w:rsidRDefault="00A6499E" w:rsidP="00C248FD">
      <w:pPr>
        <w:tabs>
          <w:tab w:val="left" w:pos="1020"/>
        </w:tabs>
        <w:spacing w:line="276" w:lineRule="auto"/>
        <w:ind w:left="-720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3" style="position:absolute;left:0;text-align:left;z-index:251710464" from="-9pt,.55pt" to="486pt,.55pt"/>
        </w:pict>
      </w:r>
      <w:r w:rsidR="00C248FD" w:rsidRPr="002B239F">
        <w:rPr>
          <w:sz w:val="22"/>
          <w:szCs w:val="22"/>
        </w:rPr>
        <w:tab/>
        <w:t>( наименование документа, кадастровый номер земельного участка)</w:t>
      </w:r>
    </w:p>
    <w:p w:rsidR="00C248FD" w:rsidRPr="002B239F" w:rsidRDefault="00A6499E" w:rsidP="00C248FD">
      <w:pPr>
        <w:tabs>
          <w:tab w:val="left" w:pos="1020"/>
        </w:tabs>
        <w:spacing w:line="276" w:lineRule="auto"/>
        <w:ind w:left="-720"/>
        <w:rPr>
          <w:b/>
          <w:i/>
          <w:sz w:val="22"/>
          <w:szCs w:val="22"/>
        </w:rPr>
      </w:pPr>
      <w:r w:rsidRPr="00A6499E">
        <w:rPr>
          <w:noProof/>
          <w:sz w:val="22"/>
          <w:szCs w:val="22"/>
          <w:lang w:eastAsia="ar-SA"/>
        </w:rPr>
        <w:pict>
          <v:line id="_x0000_s1314" style="position:absolute;left:0;text-align:left;z-index:251711488" from="117pt,12.15pt" to="486pt,12.15pt"/>
        </w:pict>
      </w:r>
      <w:r w:rsidR="00C248FD" w:rsidRPr="002B239F">
        <w:rPr>
          <w:sz w:val="22"/>
          <w:szCs w:val="22"/>
        </w:rPr>
        <w:t xml:space="preserve">2. Разрешение на строительство на        </w:t>
      </w:r>
    </w:p>
    <w:p w:rsidR="00C248FD" w:rsidRPr="002B239F" w:rsidRDefault="00C248FD" w:rsidP="00C248FD">
      <w:pPr>
        <w:tabs>
          <w:tab w:val="left" w:pos="4035"/>
          <w:tab w:val="right" w:pos="935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ab/>
        <w:t xml:space="preserve">                         (дата, номер)</w:t>
      </w:r>
      <w:r w:rsidRPr="002B239F">
        <w:rPr>
          <w:sz w:val="22"/>
          <w:szCs w:val="22"/>
        </w:rPr>
        <w:tab/>
      </w:r>
    </w:p>
    <w:p w:rsidR="00C248FD" w:rsidRPr="002B239F" w:rsidRDefault="00C248FD" w:rsidP="00C248FD">
      <w:pPr>
        <w:tabs>
          <w:tab w:val="left" w:pos="4035"/>
        </w:tabs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3. Акт приемки объекта ( в случае осуществления строительства на основании договора) на  _ листе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rPr>
          <w:sz w:val="22"/>
          <w:szCs w:val="22"/>
        </w:rPr>
      </w:pPr>
    </w:p>
    <w:p w:rsidR="00C248FD" w:rsidRPr="002B239F" w:rsidRDefault="00A6499E" w:rsidP="00C248FD">
      <w:pPr>
        <w:tabs>
          <w:tab w:val="left" w:pos="175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5" style="position:absolute;z-index:251712512" from="-36pt,.5pt" to="468pt,.5pt"/>
        </w:pict>
      </w:r>
      <w:r w:rsidR="00C248FD" w:rsidRPr="002B239F">
        <w:rPr>
          <w:sz w:val="22"/>
          <w:szCs w:val="22"/>
        </w:rPr>
        <w:tab/>
        <w:t>(дата подписания и номер)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4. Документ о соответствии объекта техническим регламентам на __ листах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rPr>
          <w:b/>
          <w:sz w:val="22"/>
          <w:szCs w:val="22"/>
        </w:rPr>
      </w:pPr>
      <w:r w:rsidRPr="002B239F">
        <w:rPr>
          <w:b/>
          <w:sz w:val="22"/>
          <w:szCs w:val="22"/>
        </w:rPr>
        <w:t xml:space="preserve">                                                                  </w:t>
      </w:r>
    </w:p>
    <w:p w:rsidR="00C248FD" w:rsidRPr="002B239F" w:rsidRDefault="00A6499E" w:rsidP="00C248FD">
      <w:pPr>
        <w:tabs>
          <w:tab w:val="left" w:pos="175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6" style="position:absolute;z-index:251713536" from="-36pt,.55pt" to="468pt,.55pt"/>
        </w:pict>
      </w:r>
      <w:r w:rsidR="00C248FD" w:rsidRPr="002B239F">
        <w:rPr>
          <w:sz w:val="22"/>
          <w:szCs w:val="22"/>
        </w:rPr>
        <w:tab/>
        <w:t>( дата подписания и номер)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5.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__ листах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                                 </w:t>
      </w:r>
    </w:p>
    <w:p w:rsidR="00C248FD" w:rsidRPr="002B239F" w:rsidRDefault="00A6499E" w:rsidP="00C248FD">
      <w:pPr>
        <w:tabs>
          <w:tab w:val="left" w:pos="100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7" style="position:absolute;z-index:251714560" from="-36pt,3pt" to="468pt,3pt"/>
        </w:pict>
      </w:r>
      <w:r w:rsidR="00C248FD" w:rsidRPr="002B239F">
        <w:rPr>
          <w:sz w:val="22"/>
          <w:szCs w:val="22"/>
        </w:rPr>
        <w:tab/>
        <w:t xml:space="preserve">                 </w:t>
      </w:r>
    </w:p>
    <w:p w:rsidR="00C248FD" w:rsidRPr="002B239F" w:rsidRDefault="00C248FD" w:rsidP="00C248FD">
      <w:pPr>
        <w:tabs>
          <w:tab w:val="left" w:pos="100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                       ( дата подписания и номер)</w:t>
      </w:r>
    </w:p>
    <w:p w:rsidR="00C248FD" w:rsidRPr="002B239F" w:rsidRDefault="00C248FD" w:rsidP="00C248FD">
      <w:pPr>
        <w:tabs>
          <w:tab w:val="left" w:pos="1005"/>
        </w:tabs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6. Документы о соответствии объекта техническим условиям на __ листах:</w:t>
      </w:r>
    </w:p>
    <w:p w:rsidR="00C248FD" w:rsidRPr="002B239F" w:rsidRDefault="00C248FD" w:rsidP="00C248FD">
      <w:pPr>
        <w:tabs>
          <w:tab w:val="left" w:pos="1005"/>
        </w:tabs>
        <w:spacing w:line="276" w:lineRule="auto"/>
        <w:rPr>
          <w:sz w:val="22"/>
          <w:szCs w:val="22"/>
        </w:rPr>
      </w:pPr>
    </w:p>
    <w:tbl>
      <w:tblPr>
        <w:tblW w:w="10080" w:type="dxa"/>
        <w:tblInd w:w="-612" w:type="dxa"/>
        <w:tblLook w:val="0000"/>
      </w:tblPr>
      <w:tblGrid>
        <w:gridCol w:w="8964"/>
        <w:gridCol w:w="1116"/>
      </w:tblGrid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180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70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248FD" w:rsidRPr="002B239F" w:rsidRDefault="00A6499E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8" style="position:absolute;z-index:251715584;mso-position-horizontal-relative:text;mso-position-vertical-relative:text" from="-36pt,1.15pt" to="468pt,1.15pt"/>
        </w:pict>
      </w:r>
      <w:r w:rsidR="00C248FD" w:rsidRPr="002B239F">
        <w:rPr>
          <w:sz w:val="22"/>
          <w:szCs w:val="22"/>
        </w:rPr>
        <w:t xml:space="preserve">                 ( наименования документов, даты их подписания и номер)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7. Схема расположения объекта и инженерных сетей в границах земельного участка на __ листах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</w:p>
    <w:p w:rsidR="00C248FD" w:rsidRPr="002B239F" w:rsidRDefault="00A6499E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9" style="position:absolute;z-index:251716608" from="-36pt,-.3pt" to="468pt,-.3pt"/>
        </w:pict>
      </w:r>
      <w:r w:rsidR="00C248FD" w:rsidRPr="002B239F">
        <w:rPr>
          <w:sz w:val="22"/>
          <w:szCs w:val="22"/>
        </w:rPr>
        <w:t xml:space="preserve">                           ( дата подписания, номер)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8. Заключение государственного строительного надзора на __ листах</w:t>
      </w:r>
    </w:p>
    <w:p w:rsidR="00C248FD" w:rsidRPr="002B239F" w:rsidRDefault="00A6499E" w:rsidP="00C248FD">
      <w:pPr>
        <w:spacing w:line="276" w:lineRule="auto"/>
        <w:ind w:left="-72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ar-SA"/>
        </w:rPr>
        <w:pict>
          <v:line id="_x0000_s1320" style="position:absolute;left:0;text-align:left;z-index:251717632" from="-36pt,11.65pt" to="468pt,11.65pt"/>
        </w:pict>
      </w:r>
      <w:r w:rsidR="00C248FD" w:rsidRPr="002B239F">
        <w:rPr>
          <w:b/>
          <w:sz w:val="22"/>
          <w:szCs w:val="22"/>
        </w:rPr>
        <w:t>-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      ( дата подписания , номер)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9. Заключение государственного пожарного надзора на __ листах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b/>
          <w:sz w:val="22"/>
          <w:szCs w:val="22"/>
        </w:rPr>
        <w:t xml:space="preserve">     </w:t>
      </w:r>
      <w:r w:rsidR="00A6499E">
        <w:rPr>
          <w:noProof/>
          <w:sz w:val="22"/>
          <w:szCs w:val="22"/>
          <w:lang w:eastAsia="ar-SA"/>
        </w:rPr>
        <w:pict>
          <v:line id="_x0000_s1321" style="position:absolute;z-index:251718656;mso-position-horizontal-relative:text;mso-position-vertical-relative:text" from="-36pt,10.5pt" to="477pt,10.5pt"/>
        </w:pic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( дата подписания , номер)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10. Копии схем , отображающих расположение построенного , реконструированного, отремонтированного объекта, расположение сетей инженерно-технического обеспечения в границах земельного участка, безвозмездно переданы в уполномоченный орган местного самоуправления по вопросам градостроительства и архитектуры.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11. Основные параметры вводимого в эксплуатацию объекта:  </w:t>
      </w:r>
    </w:p>
    <w:p w:rsidR="00C248FD" w:rsidRPr="002B239F" w:rsidRDefault="00C248FD" w:rsidP="00C248FD">
      <w:pPr>
        <w:spacing w:before="240" w:after="120"/>
        <w:rPr>
          <w:sz w:val="22"/>
          <w:szCs w:val="22"/>
        </w:rPr>
      </w:pPr>
      <w:r w:rsidRPr="002B239F">
        <w:rPr>
          <w:sz w:val="22"/>
          <w:szCs w:val="22"/>
        </w:rPr>
        <w:t>II. Сведения об объекте капитального строительства </w:t>
      </w:r>
      <w:r w:rsidRPr="002B239F">
        <w:rPr>
          <w:rStyle w:val="afd"/>
          <w:sz w:val="22"/>
          <w:szCs w:val="22"/>
        </w:rPr>
        <w:endnoteReference w:customMarkFollows="1" w:id="1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C248FD" w:rsidRPr="002B239F" w:rsidTr="007D688B">
        <w:trPr>
          <w:trHeight w:val="510"/>
        </w:trPr>
        <w:tc>
          <w:tcPr>
            <w:tcW w:w="3714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Фактически</w:t>
            </w: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1. Общие показатели вводимого в эксплуатацию объекта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куб.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куб.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Площадь нежилых помещений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72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72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зданий, сооружений </w:t>
            </w:r>
            <w:r w:rsidRPr="002B239F">
              <w:rPr>
                <w:rStyle w:val="afd"/>
                <w:sz w:val="22"/>
                <w:szCs w:val="22"/>
              </w:rPr>
              <w:endnoteReference w:customMarkFollows="1" w:id="2"/>
              <w:t>11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2. Объекты непроизводственного назначения</w:t>
            </w:r>
          </w:p>
        </w:tc>
      </w:tr>
      <w:tr w:rsidR="00C248FD" w:rsidRPr="002B239F" w:rsidTr="007D688B">
        <w:trPr>
          <w:trHeight w:val="80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2.1. Нежилые объекты</w:t>
            </w:r>
            <w:r w:rsidRPr="002B239F">
              <w:rPr>
                <w:sz w:val="22"/>
                <w:szCs w:val="22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помещений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8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Лифты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Эскалаторы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keepNext/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keepNext/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rStyle w:val="afd"/>
                <w:sz w:val="22"/>
                <w:szCs w:val="22"/>
              </w:rPr>
              <w:endnoteReference w:customMarkFollows="1" w:id="3"/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2.2. Объекты жилищного фонда</w:t>
            </w: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секций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секций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квартир/общая площадь, всего</w:t>
            </w:r>
          </w:p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1-комнатные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3-комнатные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4-комнатные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более чем 4-комнатные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11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8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Лифты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Эскалаторы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3. Объекты производственного назначения</w:t>
            </w:r>
          </w:p>
        </w:tc>
      </w:tr>
      <w:tr w:rsidR="00C248FD" w:rsidRPr="002B239F" w:rsidTr="007D688B">
        <w:trPr>
          <w:trHeight w:val="1000"/>
        </w:trPr>
        <w:tc>
          <w:tcPr>
            <w:tcW w:w="9951" w:type="dxa"/>
            <w:gridSpan w:val="4"/>
          </w:tcPr>
          <w:p w:rsidR="00C248FD" w:rsidRPr="002B239F" w:rsidRDefault="00C248FD" w:rsidP="007D688B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C248FD" w:rsidRPr="002B239F" w:rsidRDefault="00C248FD" w:rsidP="007D688B">
            <w:pPr>
              <w:ind w:left="57" w:right="57"/>
              <w:jc w:val="both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Тип объекта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Мощность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Производительность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72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Лифты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Эскалаторы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4. Линейные объекты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Категория</w:t>
            </w:r>
            <w:r w:rsidRPr="002B239F">
              <w:rPr>
                <w:sz w:val="22"/>
                <w:szCs w:val="22"/>
              </w:rPr>
              <w:br/>
              <w:t>(класс)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Перечень конструктивных элементов, оказывающих</w:t>
            </w:r>
            <w:r w:rsidRPr="002B239F">
              <w:rPr>
                <w:sz w:val="22"/>
                <w:szCs w:val="22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80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keepNext/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5. Соответствие требованиям энергетической эффективности и требованиям</w:t>
            </w:r>
            <w:r w:rsidRPr="002B239F">
              <w:rPr>
                <w:sz w:val="22"/>
                <w:szCs w:val="22"/>
              </w:rPr>
              <w:br/>
              <w:t>оснащенности приборами учета используемых энергетических ресурсов</w:t>
            </w:r>
            <w:r w:rsidRPr="002B239F">
              <w:rPr>
                <w:rStyle w:val="afd"/>
                <w:sz w:val="22"/>
                <w:szCs w:val="22"/>
              </w:rPr>
              <w:endnoteReference w:customMarkFollows="1" w:id="4"/>
              <w:t>13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Класс </w:t>
            </w:r>
            <w:proofErr w:type="spellStart"/>
            <w:r w:rsidRPr="002B239F">
              <w:rPr>
                <w:sz w:val="22"/>
                <w:szCs w:val="22"/>
              </w:rPr>
              <w:t>энергоэффективности</w:t>
            </w:r>
            <w:proofErr w:type="spellEnd"/>
            <w:r w:rsidRPr="002B239F">
              <w:rPr>
                <w:sz w:val="22"/>
                <w:szCs w:val="22"/>
              </w:rPr>
              <w:t xml:space="preserve"> здания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кВт</w:t>
            </w:r>
            <w:r w:rsidRPr="002B239F">
              <w:rPr>
                <w:sz w:val="22"/>
                <w:szCs w:val="22"/>
                <w:lang w:val="en-US"/>
              </w:rPr>
              <w:t>•</w:t>
            </w:r>
            <w:r w:rsidRPr="002B239F">
              <w:rPr>
                <w:sz w:val="22"/>
                <w:szCs w:val="22"/>
              </w:rPr>
              <w:t>ч/м</w:t>
            </w:r>
            <w:r w:rsidRPr="002B239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80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ind w:left="57" w:right="57"/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6. Стоимость строительства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Стоимость строительства объекта – всего 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рублей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 строительно-монтажных работ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рублей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C248FD" w:rsidRDefault="00C248FD" w:rsidP="00C248FD">
      <w:pPr>
        <w:spacing w:line="276" w:lineRule="auto"/>
        <w:ind w:left="-720"/>
        <w:rPr>
          <w:sz w:val="28"/>
          <w:szCs w:val="28"/>
        </w:rPr>
      </w:pPr>
    </w:p>
    <w:p w:rsidR="00C248FD" w:rsidRPr="003B0A02" w:rsidRDefault="00C248FD" w:rsidP="00C248FD">
      <w:pPr>
        <w:spacing w:line="276" w:lineRule="auto"/>
        <w:rPr>
          <w:sz w:val="28"/>
          <w:szCs w:val="28"/>
        </w:rPr>
      </w:pPr>
    </w:p>
    <w:p w:rsidR="00C248FD" w:rsidRPr="003B0A02" w:rsidRDefault="00C248FD" w:rsidP="00C248FD">
      <w:pPr>
        <w:tabs>
          <w:tab w:val="left" w:pos="7455"/>
        </w:tabs>
        <w:spacing w:line="276" w:lineRule="auto"/>
        <w:rPr>
          <w:b/>
          <w:i/>
          <w:sz w:val="28"/>
          <w:szCs w:val="28"/>
        </w:rPr>
      </w:pPr>
      <w:r w:rsidRPr="003B0A02">
        <w:rPr>
          <w:sz w:val="28"/>
          <w:szCs w:val="28"/>
        </w:rPr>
        <w:t xml:space="preserve">     </w:t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</w:p>
    <w:p w:rsidR="00C248FD" w:rsidRPr="003B0A02" w:rsidRDefault="00A6499E" w:rsidP="00C248FD">
      <w:pPr>
        <w:tabs>
          <w:tab w:val="left" w:pos="4200"/>
          <w:tab w:val="center" w:pos="4677"/>
          <w:tab w:val="left" w:pos="744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line id="_x0000_s1322" style="position:absolute;z-index:251719680" from="-32.4pt,.6pt" to="129.6pt,.6pt"/>
        </w:pict>
      </w:r>
      <w:r>
        <w:rPr>
          <w:noProof/>
          <w:sz w:val="28"/>
          <w:szCs w:val="28"/>
          <w:lang w:eastAsia="ar-SA"/>
        </w:rPr>
        <w:pict>
          <v:line id="_x0000_s1324" style="position:absolute;z-index:251721728" from="5in,.1pt" to="468pt,.1pt"/>
        </w:pict>
      </w:r>
      <w:r>
        <w:rPr>
          <w:noProof/>
          <w:sz w:val="28"/>
          <w:szCs w:val="28"/>
          <w:lang w:eastAsia="ar-SA"/>
        </w:rPr>
        <w:pict>
          <v:line id="_x0000_s1323" style="position:absolute;z-index:251720704" from="202.35pt,.3pt" to="274.35pt,.3pt"/>
        </w:pict>
      </w:r>
      <w:r w:rsidR="00C248FD" w:rsidRPr="003B0A02">
        <w:rPr>
          <w:sz w:val="28"/>
          <w:szCs w:val="28"/>
        </w:rPr>
        <w:t xml:space="preserve"> (должность руководителя застройщика)</w:t>
      </w:r>
      <w:r w:rsidR="00C248FD" w:rsidRPr="003B0A02">
        <w:rPr>
          <w:sz w:val="28"/>
          <w:szCs w:val="28"/>
        </w:rPr>
        <w:tab/>
        <w:t xml:space="preserve">            (подпись)</w:t>
      </w:r>
      <w:r w:rsidR="00C248FD" w:rsidRPr="003B0A02">
        <w:rPr>
          <w:sz w:val="28"/>
          <w:szCs w:val="28"/>
        </w:rPr>
        <w:tab/>
        <w:t>(расшифровка подписи)</w:t>
      </w:r>
      <w:r w:rsidR="00C248FD" w:rsidRPr="003B0A02">
        <w:rPr>
          <w:sz w:val="28"/>
          <w:szCs w:val="28"/>
        </w:rPr>
        <w:tab/>
      </w: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10</w:t>
      </w:r>
      <w:r w:rsidRPr="00C81698">
        <w:rPr>
          <w:sz w:val="18"/>
          <w:szCs w:val="18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“Наименование показателя” указываются показатели объекта капитального строительства;</w:t>
      </w: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“Единица измерения” указываются единицы измерения;</w:t>
      </w: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11</w:t>
      </w:r>
      <w:r w:rsidRPr="00C81698">
        <w:rPr>
          <w:sz w:val="18"/>
          <w:szCs w:val="18"/>
        </w:rP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12</w:t>
      </w:r>
      <w:r w:rsidRPr="00C81698">
        <w:rPr>
          <w:sz w:val="18"/>
          <w:szCs w:val="18"/>
        </w:rP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13</w:t>
      </w:r>
      <w:r w:rsidRPr="00C81698">
        <w:rPr>
          <w:sz w:val="18"/>
          <w:szCs w:val="18"/>
        </w:rPr>
        <w:t> В отношении линейных объектов допускается заполнение не всех граф раздела.</w:t>
      </w: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Pr="003B0A02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A113F5" w:rsidRPr="003B0A02" w:rsidRDefault="00A113F5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</w:p>
    <w:p w:rsidR="00A113F5" w:rsidRPr="003B0A02" w:rsidRDefault="00A6499E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A6499E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7D688B" w:rsidRPr="00A53D2F" w:rsidRDefault="007D688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A6499E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7D688B" w:rsidRPr="009C5219" w:rsidRDefault="007D688B" w:rsidP="00A113F5">
                  <w:pPr>
                    <w:spacing w:before="90" w:after="90"/>
                    <w:jc w:val="center"/>
                    <w:outlineLvl w:val="1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7D688B" w:rsidRPr="00452EFC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7D688B" w:rsidRPr="00452EFC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7D688B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857591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3A" w:rsidRDefault="00887D3A">
      <w:r>
        <w:separator/>
      </w:r>
    </w:p>
  </w:endnote>
  <w:endnote w:type="continuationSeparator" w:id="0">
    <w:p w:rsidR="00887D3A" w:rsidRDefault="00887D3A">
      <w:r>
        <w:continuationSeparator/>
      </w:r>
    </w:p>
  </w:endnote>
  <w:endnote w:id="1">
    <w:p w:rsidR="007D688B" w:rsidRPr="00C81698" w:rsidRDefault="007D688B" w:rsidP="00C248FD">
      <w:pPr>
        <w:pStyle w:val="afb"/>
        <w:ind w:firstLine="567"/>
        <w:jc w:val="both"/>
        <w:rPr>
          <w:sz w:val="18"/>
          <w:szCs w:val="18"/>
        </w:rPr>
      </w:pPr>
    </w:p>
  </w:endnote>
  <w:endnote w:id="2">
    <w:p w:rsidR="007D688B" w:rsidRPr="00C81698" w:rsidRDefault="007D688B" w:rsidP="007D688B">
      <w:pPr>
        <w:pStyle w:val="afb"/>
        <w:jc w:val="both"/>
        <w:rPr>
          <w:sz w:val="18"/>
          <w:szCs w:val="18"/>
        </w:rPr>
      </w:pPr>
    </w:p>
  </w:endnote>
  <w:endnote w:id="3">
    <w:p w:rsidR="007D688B" w:rsidRPr="00C81698" w:rsidRDefault="007D688B" w:rsidP="007D688B">
      <w:pPr>
        <w:pStyle w:val="afb"/>
        <w:jc w:val="both"/>
        <w:rPr>
          <w:sz w:val="18"/>
          <w:szCs w:val="18"/>
        </w:rPr>
      </w:pPr>
    </w:p>
  </w:endnote>
  <w:endnote w:id="4">
    <w:p w:rsidR="007D688B" w:rsidRPr="00C81698" w:rsidRDefault="007D688B" w:rsidP="007D688B">
      <w:pPr>
        <w:pStyle w:val="afb"/>
        <w:jc w:val="both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3A" w:rsidRDefault="00887D3A">
      <w:r>
        <w:separator/>
      </w:r>
    </w:p>
  </w:footnote>
  <w:footnote w:type="continuationSeparator" w:id="0">
    <w:p w:rsidR="00887D3A" w:rsidRDefault="00887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9767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77BA5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3CA9"/>
    <w:rsid w:val="00384F92"/>
    <w:rsid w:val="00385293"/>
    <w:rsid w:val="00385AC6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83E29"/>
    <w:rsid w:val="00492006"/>
    <w:rsid w:val="004A1CA1"/>
    <w:rsid w:val="004A3D0F"/>
    <w:rsid w:val="004A3DFF"/>
    <w:rsid w:val="004A5222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1B13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157F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B241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2133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688B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251"/>
    <w:rsid w:val="00846B51"/>
    <w:rsid w:val="00851527"/>
    <w:rsid w:val="00851582"/>
    <w:rsid w:val="00852838"/>
    <w:rsid w:val="00857591"/>
    <w:rsid w:val="008655F2"/>
    <w:rsid w:val="008723A1"/>
    <w:rsid w:val="00872EA0"/>
    <w:rsid w:val="00874CF2"/>
    <w:rsid w:val="008805C6"/>
    <w:rsid w:val="00881AD3"/>
    <w:rsid w:val="0088205D"/>
    <w:rsid w:val="00884625"/>
    <w:rsid w:val="008855E9"/>
    <w:rsid w:val="0088587A"/>
    <w:rsid w:val="00887D3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0463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499E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2E23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275F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248FD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2489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3" type="connector" idref="#_x0000_s1272"/>
        <o:r id="V:Rule24" type="connector" idref="#_x0000_s1251"/>
        <o:r id="V:Rule25" type="connector" idref="#_x0000_s1243"/>
        <o:r id="V:Rule26" type="connector" idref="#_x0000_s1275"/>
        <o:r id="V:Rule27" type="connector" idref="#_x0000_s1271"/>
        <o:r id="V:Rule28" type="connector" idref="#_x0000_s1254"/>
        <o:r id="V:Rule29" type="connector" idref="#_x0000_s1276"/>
        <o:r id="V:Rule30" type="connector" idref="#_x0000_s1267"/>
        <o:r id="V:Rule31" type="connector" idref="#_x0000_s1263"/>
        <o:r id="V:Rule32" type="connector" idref="#_x0000_s1246"/>
        <o:r id="V:Rule33" type="connector" idref="#_x0000_s1265"/>
        <o:r id="V:Rule34" type="connector" idref="#_x0000_s1274"/>
        <o:r id="V:Rule35" type="connector" idref="#_x0000_s1249"/>
        <o:r id="V:Rule36" type="connector" idref="#_x0000_s1252"/>
        <o:r id="V:Rule37" type="connector" idref="#_x0000_s1259"/>
        <o:r id="V:Rule38" type="connector" idref="#_x0000_s1277"/>
        <o:r id="V:Rule39" type="connector" idref="#_x0000_s1268"/>
        <o:r id="V:Rule40" type="connector" idref="#_x0000_s1245"/>
        <o:r id="V:Rule41" type="connector" idref="#_x0000_s1256"/>
        <o:r id="V:Rule42" type="connector" idref="#_x0000_s1261"/>
        <o:r id="V:Rule43" type="connector" idref="#_x0000_s1244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rsid w:val="00C248FD"/>
    <w:pPr>
      <w:autoSpaceDE w:val="0"/>
      <w:autoSpaceDN w:val="0"/>
    </w:pPr>
  </w:style>
  <w:style w:type="character" w:customStyle="1" w:styleId="afc">
    <w:name w:val="Текст концевой сноски Знак"/>
    <w:basedOn w:val="a0"/>
    <w:link w:val="afb"/>
    <w:uiPriority w:val="99"/>
    <w:rsid w:val="00C248FD"/>
  </w:style>
  <w:style w:type="character" w:styleId="afd">
    <w:name w:val="endnote reference"/>
    <w:uiPriority w:val="99"/>
    <w:rsid w:val="00C248FD"/>
    <w:rPr>
      <w:vertAlign w:val="superscript"/>
    </w:rPr>
  </w:style>
  <w:style w:type="paragraph" w:customStyle="1" w:styleId="210">
    <w:name w:val="Основной текст с отступом 21"/>
    <w:basedOn w:val="a"/>
    <w:rsid w:val="00857591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44174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11</cp:revision>
  <cp:lastPrinted>2016-03-16T13:03:00Z</cp:lastPrinted>
  <dcterms:created xsi:type="dcterms:W3CDTF">2016-02-10T08:58:00Z</dcterms:created>
  <dcterms:modified xsi:type="dcterms:W3CDTF">2016-03-18T04:58:00Z</dcterms:modified>
</cp:coreProperties>
</file>